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7"/>
        <w:gridCol w:w="7049"/>
      </w:tblGrid>
      <w:tr w:rsidR="00001B98" w:rsidRPr="00B965A7" w:rsidTr="00AF77CB">
        <w:trPr>
          <w:trHeight w:val="256"/>
        </w:trPr>
        <w:tc>
          <w:tcPr>
            <w:tcW w:w="2307" w:type="dxa"/>
            <w:tcBorders>
              <w:top w:val="single" w:sz="4" w:space="0" w:color="auto"/>
              <w:left w:val="single" w:sz="4" w:space="0" w:color="auto"/>
              <w:bottom w:val="single" w:sz="4" w:space="0" w:color="auto"/>
              <w:right w:val="single" w:sz="4" w:space="0" w:color="auto"/>
            </w:tcBorders>
            <w:shd w:val="clear" w:color="auto" w:fill="FFFF00"/>
          </w:tcPr>
          <w:p w:rsidR="00001B98" w:rsidRPr="00B965A7" w:rsidRDefault="00001B98" w:rsidP="004E171E">
            <w:pPr>
              <w:rPr>
                <w:rFonts w:ascii="Arial" w:hAnsi="Arial" w:cs="Arial"/>
                <w:b/>
                <w:i/>
                <w:sz w:val="22"/>
                <w:highlight w:val="yellow"/>
              </w:rPr>
            </w:pPr>
            <w:bookmarkStart w:id="0" w:name="_GoBack"/>
            <w:r w:rsidRPr="00B965A7">
              <w:rPr>
                <w:rFonts w:ascii="Arial" w:hAnsi="Arial" w:cs="Arial"/>
                <w:b/>
                <w:i/>
                <w:sz w:val="22"/>
                <w:highlight w:val="yellow"/>
              </w:rPr>
              <w:t>School/Department:</w:t>
            </w:r>
          </w:p>
        </w:tc>
        <w:tc>
          <w:tcPr>
            <w:tcW w:w="7049" w:type="dxa"/>
            <w:tcBorders>
              <w:top w:val="single" w:sz="4" w:space="0" w:color="auto"/>
              <w:left w:val="single" w:sz="4" w:space="0" w:color="auto"/>
              <w:bottom w:val="single" w:sz="4" w:space="0" w:color="auto"/>
              <w:right w:val="single" w:sz="4" w:space="0" w:color="auto"/>
            </w:tcBorders>
            <w:shd w:val="clear" w:color="auto" w:fill="FFFF00"/>
          </w:tcPr>
          <w:p w:rsidR="00001B98" w:rsidRPr="00F6473A" w:rsidRDefault="00001B98" w:rsidP="004E171E">
            <w:pPr>
              <w:rPr>
                <w:rFonts w:ascii="Arial" w:hAnsi="Arial" w:cs="Arial"/>
                <w:b/>
                <w:i/>
                <w:sz w:val="28"/>
                <w:szCs w:val="28"/>
                <w:highlight w:val="yellow"/>
              </w:rPr>
            </w:pPr>
            <w:r w:rsidRPr="00F6473A">
              <w:rPr>
                <w:rFonts w:ascii="Arial" w:hAnsi="Arial" w:cs="Arial"/>
                <w:b/>
                <w:i/>
                <w:sz w:val="28"/>
                <w:szCs w:val="28"/>
                <w:highlight w:val="yellow"/>
              </w:rPr>
              <w:t>Department of Cell Biology, Erasmus MC</w:t>
            </w:r>
          </w:p>
        </w:tc>
      </w:tr>
      <w:tr w:rsidR="00001B98" w:rsidRPr="00B965A7" w:rsidTr="00AF77CB">
        <w:trPr>
          <w:trHeight w:val="484"/>
        </w:trPr>
        <w:tc>
          <w:tcPr>
            <w:tcW w:w="2307" w:type="dxa"/>
            <w:tcBorders>
              <w:top w:val="single" w:sz="4" w:space="0" w:color="auto"/>
              <w:left w:val="single" w:sz="4" w:space="0" w:color="auto"/>
              <w:bottom w:val="single" w:sz="4" w:space="0" w:color="auto"/>
              <w:right w:val="single" w:sz="4" w:space="0" w:color="auto"/>
            </w:tcBorders>
            <w:shd w:val="clear" w:color="auto" w:fill="auto"/>
          </w:tcPr>
          <w:p w:rsidR="00001B98" w:rsidRPr="00B965A7" w:rsidRDefault="00001B98" w:rsidP="004E171E">
            <w:pPr>
              <w:rPr>
                <w:rFonts w:ascii="Arial" w:hAnsi="Arial" w:cs="Arial"/>
                <w:b/>
                <w:i/>
                <w:sz w:val="22"/>
                <w:szCs w:val="22"/>
              </w:rPr>
            </w:pPr>
            <w:r w:rsidRPr="00B965A7">
              <w:rPr>
                <w:rFonts w:ascii="Arial" w:hAnsi="Arial" w:cs="Arial"/>
                <w:b/>
                <w:i/>
                <w:sz w:val="22"/>
                <w:szCs w:val="22"/>
              </w:rPr>
              <w:t>Supervisor information:</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001B98" w:rsidRPr="00F6473A" w:rsidRDefault="00001B98" w:rsidP="00AF77CB">
            <w:pPr>
              <w:numPr>
                <w:ilvl w:val="0"/>
                <w:numId w:val="2"/>
              </w:numPr>
              <w:ind w:left="202" w:hanging="202"/>
              <w:rPr>
                <w:rFonts w:ascii="Arial" w:hAnsi="Arial" w:cs="Arial"/>
                <w:i/>
              </w:rPr>
            </w:pPr>
            <w:r w:rsidRPr="00F6473A">
              <w:rPr>
                <w:rFonts w:ascii="Arial" w:hAnsi="Arial" w:cs="Arial"/>
                <w:i/>
              </w:rPr>
              <w:t xml:space="preserve">Prof dr </w:t>
            </w:r>
            <w:r w:rsidR="00AF77CB" w:rsidRPr="00F6473A">
              <w:rPr>
                <w:rFonts w:ascii="Arial" w:hAnsi="Arial" w:cs="Arial"/>
                <w:i/>
              </w:rPr>
              <w:t xml:space="preserve">D. </w:t>
            </w:r>
            <w:r w:rsidR="00B965A7" w:rsidRPr="00F6473A">
              <w:rPr>
                <w:rFonts w:ascii="Arial" w:hAnsi="Arial" w:cs="Arial"/>
                <w:i/>
              </w:rPr>
              <w:t>Huylebroeck</w:t>
            </w:r>
            <w:r w:rsidR="00AF77CB" w:rsidRPr="00F6473A">
              <w:rPr>
                <w:rFonts w:ascii="Arial" w:hAnsi="Arial" w:cs="Arial"/>
                <w:i/>
              </w:rPr>
              <w:t>,</w:t>
            </w:r>
            <w:r w:rsidRPr="00F6473A">
              <w:rPr>
                <w:rFonts w:ascii="Arial" w:hAnsi="Arial" w:cs="Arial"/>
                <w:i/>
              </w:rPr>
              <w:t xml:space="preserve"> </w:t>
            </w:r>
            <w:hyperlink r:id="rId7" w:history="1">
              <w:r w:rsidR="00AF77CB" w:rsidRPr="00F6473A">
                <w:rPr>
                  <w:rStyle w:val="a3"/>
                  <w:rFonts w:ascii="Arial" w:hAnsi="Arial" w:cs="Arial"/>
                  <w:i/>
                </w:rPr>
                <w:t>d.huylebroeck@erasmusmc.nl</w:t>
              </w:r>
            </w:hyperlink>
            <w:r w:rsidR="00AF77CB" w:rsidRPr="00F6473A">
              <w:rPr>
                <w:rFonts w:ascii="Arial" w:hAnsi="Arial" w:cs="Arial"/>
                <w:i/>
              </w:rPr>
              <w:t xml:space="preserve"> </w:t>
            </w:r>
          </w:p>
          <w:p w:rsidR="00AF77CB" w:rsidRPr="00B965A7" w:rsidRDefault="00AF77CB" w:rsidP="00AF77CB">
            <w:pPr>
              <w:rPr>
                <w:rFonts w:ascii="Arial" w:hAnsi="Arial" w:cs="Arial"/>
                <w:b/>
                <w:i/>
                <w:sz w:val="18"/>
                <w:szCs w:val="18"/>
              </w:rPr>
            </w:pPr>
          </w:p>
          <w:p w:rsidR="00001B98" w:rsidRPr="0057368A" w:rsidRDefault="00AF77CB" w:rsidP="00001B98">
            <w:pPr>
              <w:numPr>
                <w:ilvl w:val="0"/>
                <w:numId w:val="2"/>
              </w:numPr>
              <w:ind w:left="202" w:hanging="202"/>
              <w:rPr>
                <w:rFonts w:ascii="Arial" w:hAnsi="Arial" w:cs="Arial"/>
                <w:b/>
                <w:i/>
                <w:sz w:val="20"/>
                <w:szCs w:val="20"/>
              </w:rPr>
            </w:pPr>
            <w:r w:rsidRPr="0057368A">
              <w:rPr>
                <w:rFonts w:ascii="Arial" w:hAnsi="Arial" w:cs="Arial"/>
                <w:b/>
                <w:i/>
                <w:sz w:val="20"/>
                <w:szCs w:val="20"/>
              </w:rPr>
              <w:t>Selected</w:t>
            </w:r>
            <w:r w:rsidR="00001B98" w:rsidRPr="0057368A">
              <w:rPr>
                <w:rFonts w:ascii="Arial" w:hAnsi="Arial" w:cs="Arial"/>
                <w:b/>
                <w:i/>
                <w:sz w:val="20"/>
                <w:szCs w:val="20"/>
              </w:rPr>
              <w:t xml:space="preserve"> publications:</w:t>
            </w:r>
          </w:p>
          <w:p w:rsidR="00AF77CB" w:rsidRPr="0057368A" w:rsidRDefault="007D3AA6" w:rsidP="00AF77CB">
            <w:pPr>
              <w:jc w:val="both"/>
              <w:rPr>
                <w:rFonts w:ascii="Arial" w:hAnsi="Arial" w:cs="Arial"/>
                <w:sz w:val="20"/>
                <w:szCs w:val="20"/>
              </w:rPr>
            </w:pPr>
            <w:r w:rsidRPr="0057368A">
              <w:rPr>
                <w:rFonts w:ascii="Arial" w:eastAsia="Times New Roman" w:hAnsi="Arial" w:cs="Arial"/>
                <w:sz w:val="20"/>
                <w:szCs w:val="20"/>
              </w:rPr>
              <w:t>Dries R et al</w:t>
            </w:r>
            <w:r w:rsidR="00AF77CB" w:rsidRPr="0057368A">
              <w:rPr>
                <w:rFonts w:ascii="Arial" w:eastAsia="Times New Roman" w:hAnsi="Arial" w:cs="Arial"/>
                <w:sz w:val="20"/>
                <w:szCs w:val="20"/>
              </w:rPr>
              <w:t>.</w:t>
            </w:r>
            <w:r w:rsidR="00AF77CB" w:rsidRPr="0057368A">
              <w:rPr>
                <w:rFonts w:ascii="Arial" w:eastAsia="Times New Roman" w:hAnsi="Arial" w:cs="Arial"/>
                <w:sz w:val="20"/>
                <w:szCs w:val="20"/>
                <w:lang w:val="en-AU"/>
              </w:rPr>
              <w:t xml:space="preserve"> </w:t>
            </w:r>
            <w:r w:rsidR="00AF77CB" w:rsidRPr="0057368A">
              <w:rPr>
                <w:rFonts w:ascii="Arial" w:eastAsia="Times New Roman" w:hAnsi="Arial" w:cs="Arial"/>
                <w:sz w:val="20"/>
                <w:szCs w:val="20"/>
              </w:rPr>
              <w:t xml:space="preserve"> </w:t>
            </w:r>
            <w:r w:rsidR="00AF77CB" w:rsidRPr="0057368A">
              <w:rPr>
                <w:rFonts w:ascii="Arial" w:eastAsia="Times New Roman" w:hAnsi="Arial" w:cs="Arial"/>
                <w:b/>
                <w:i/>
                <w:sz w:val="20"/>
                <w:szCs w:val="20"/>
              </w:rPr>
              <w:t>Stem Cells</w:t>
            </w:r>
            <w:r w:rsidR="00AF77CB" w:rsidRPr="0057368A">
              <w:rPr>
                <w:rFonts w:ascii="Arial" w:eastAsia="Times New Roman" w:hAnsi="Arial" w:cs="Arial"/>
                <w:i/>
                <w:sz w:val="20"/>
                <w:szCs w:val="20"/>
              </w:rPr>
              <w:t>, in press.</w:t>
            </w:r>
          </w:p>
          <w:p w:rsidR="00AF77CB" w:rsidRPr="0057368A" w:rsidRDefault="007D3AA6" w:rsidP="00AF77CB">
            <w:pPr>
              <w:jc w:val="both"/>
              <w:rPr>
                <w:rFonts w:ascii="Arial" w:eastAsia="Times New Roman" w:hAnsi="Arial" w:cs="Arial"/>
                <w:sz w:val="20"/>
                <w:szCs w:val="20"/>
              </w:rPr>
            </w:pPr>
            <w:r w:rsidRPr="0057368A">
              <w:rPr>
                <w:rFonts w:ascii="Arial" w:eastAsia="Times New Roman" w:hAnsi="Arial" w:cs="Arial"/>
                <w:sz w:val="20"/>
                <w:szCs w:val="20"/>
              </w:rPr>
              <w:t>Dobreva MP*et al</w:t>
            </w:r>
            <w:r w:rsidR="00AF77CB" w:rsidRPr="0057368A">
              <w:rPr>
                <w:rFonts w:ascii="Arial" w:eastAsia="Times New Roman" w:hAnsi="Arial" w:cs="Arial"/>
                <w:sz w:val="20"/>
                <w:szCs w:val="20"/>
              </w:rPr>
              <w:t>.</w:t>
            </w:r>
            <w:r w:rsidR="00AF77CB" w:rsidRPr="0057368A">
              <w:rPr>
                <w:rFonts w:ascii="Arial" w:eastAsia="Times New Roman" w:hAnsi="Arial" w:cs="Arial"/>
                <w:sz w:val="20"/>
                <w:szCs w:val="20"/>
                <w:lang w:val="en-AU"/>
              </w:rPr>
              <w:t xml:space="preserve"> (2018). </w:t>
            </w:r>
            <w:r w:rsidR="00AF77CB" w:rsidRPr="0057368A">
              <w:rPr>
                <w:rFonts w:ascii="Arial" w:eastAsia="Times New Roman" w:hAnsi="Arial" w:cs="Arial"/>
                <w:b/>
                <w:i/>
                <w:sz w:val="20"/>
                <w:szCs w:val="20"/>
              </w:rPr>
              <w:t>Development</w:t>
            </w:r>
            <w:r w:rsidR="00AF77CB" w:rsidRPr="0057368A">
              <w:rPr>
                <w:rFonts w:ascii="Arial" w:eastAsia="Times New Roman" w:hAnsi="Arial" w:cs="Arial"/>
                <w:sz w:val="20"/>
                <w:szCs w:val="20"/>
              </w:rPr>
              <w:t xml:space="preserve"> 145, dev157222. </w:t>
            </w:r>
          </w:p>
          <w:p w:rsidR="00AF77CB" w:rsidRPr="0057368A" w:rsidRDefault="007D3AA6" w:rsidP="00AF77CB">
            <w:pPr>
              <w:jc w:val="both"/>
              <w:rPr>
                <w:rFonts w:ascii="Arial" w:eastAsia="Times New Roman" w:hAnsi="Arial" w:cs="Arial"/>
                <w:sz w:val="20"/>
                <w:szCs w:val="20"/>
                <w:lang w:val="en-AU"/>
              </w:rPr>
            </w:pPr>
            <w:r w:rsidRPr="0057368A">
              <w:rPr>
                <w:rFonts w:ascii="Arial" w:eastAsia="Times New Roman" w:hAnsi="Arial" w:cs="Arial"/>
                <w:bCs/>
                <w:color w:val="000000"/>
                <w:sz w:val="20"/>
                <w:szCs w:val="20"/>
              </w:rPr>
              <w:t>Stryjewska A</w:t>
            </w:r>
            <w:r w:rsidR="00AF77CB" w:rsidRPr="0057368A">
              <w:rPr>
                <w:rFonts w:ascii="Arial" w:eastAsia="Times New Roman" w:hAnsi="Arial" w:cs="Arial"/>
                <w:bCs/>
                <w:color w:val="000000"/>
                <w:sz w:val="20"/>
                <w:szCs w:val="20"/>
              </w:rPr>
              <w:t xml:space="preserve"> </w:t>
            </w:r>
            <w:r w:rsidRPr="0057368A">
              <w:rPr>
                <w:rFonts w:ascii="Arial" w:eastAsia="Times New Roman" w:hAnsi="Arial" w:cs="Arial"/>
                <w:bCs/>
                <w:color w:val="000000"/>
                <w:sz w:val="20"/>
                <w:szCs w:val="20"/>
              </w:rPr>
              <w:t>et al</w:t>
            </w:r>
            <w:r w:rsidR="00AF77CB" w:rsidRPr="0057368A">
              <w:rPr>
                <w:rFonts w:ascii="Arial" w:eastAsia="Times New Roman" w:hAnsi="Arial" w:cs="Arial"/>
                <w:bCs/>
                <w:color w:val="000000"/>
                <w:sz w:val="20"/>
                <w:szCs w:val="20"/>
              </w:rPr>
              <w:t>. (2017)</w:t>
            </w:r>
            <w:r w:rsidR="00AF77CB" w:rsidRPr="0057368A">
              <w:rPr>
                <w:rFonts w:ascii="Arial" w:eastAsia="Times New Roman" w:hAnsi="Arial" w:cs="Arial"/>
                <w:b/>
                <w:bCs/>
                <w:i/>
                <w:color w:val="000000"/>
                <w:sz w:val="20"/>
                <w:szCs w:val="20"/>
              </w:rPr>
              <w:t>Stem Cells</w:t>
            </w:r>
            <w:r w:rsidR="00AF77CB" w:rsidRPr="0057368A">
              <w:rPr>
                <w:rFonts w:ascii="Arial" w:eastAsia="Times New Roman" w:hAnsi="Arial" w:cs="Arial"/>
                <w:bCs/>
                <w:i/>
                <w:color w:val="000000"/>
                <w:sz w:val="20"/>
                <w:szCs w:val="20"/>
              </w:rPr>
              <w:t xml:space="preserve"> </w:t>
            </w:r>
            <w:r w:rsidR="00AF77CB" w:rsidRPr="0057368A">
              <w:rPr>
                <w:rFonts w:ascii="Arial" w:eastAsia="Times New Roman" w:hAnsi="Arial" w:cs="Arial"/>
                <w:sz w:val="20"/>
                <w:szCs w:val="20"/>
                <w:lang w:val="en-AU"/>
              </w:rPr>
              <w:t>35:611-625.</w:t>
            </w:r>
          </w:p>
          <w:p w:rsidR="00AF77CB" w:rsidRPr="0057368A" w:rsidRDefault="007D3AA6" w:rsidP="00AF77CB">
            <w:pPr>
              <w:jc w:val="both"/>
              <w:rPr>
                <w:rFonts w:ascii="Arial" w:hAnsi="Arial" w:cs="Arial"/>
                <w:sz w:val="20"/>
                <w:szCs w:val="20"/>
              </w:rPr>
            </w:pPr>
            <w:r w:rsidRPr="0057368A">
              <w:rPr>
                <w:rFonts w:ascii="Arial" w:eastAsia="Times New Roman" w:hAnsi="Arial" w:cs="Arial"/>
                <w:sz w:val="20"/>
                <w:szCs w:val="20"/>
                <w:lang w:val="nl-NL"/>
              </w:rPr>
              <w:t>Wu LM et al</w:t>
            </w:r>
            <w:r w:rsidR="00AF77CB" w:rsidRPr="0057368A">
              <w:rPr>
                <w:rFonts w:ascii="Arial" w:eastAsia="Times New Roman" w:hAnsi="Arial" w:cs="Arial"/>
                <w:sz w:val="20"/>
                <w:szCs w:val="20"/>
                <w:lang w:val="nl-NL"/>
              </w:rPr>
              <w:t xml:space="preserve"> (2016).  </w:t>
            </w:r>
            <w:r w:rsidR="00AF77CB" w:rsidRPr="0057368A">
              <w:rPr>
                <w:rFonts w:ascii="Arial" w:eastAsia="Times New Roman" w:hAnsi="Arial" w:cs="Arial"/>
                <w:b/>
                <w:bCs/>
                <w:i/>
                <w:color w:val="000000"/>
                <w:sz w:val="20"/>
                <w:szCs w:val="20"/>
                <w:lang w:val="nl-NL"/>
              </w:rPr>
              <w:t xml:space="preserve">Nat Neurosci. </w:t>
            </w:r>
            <w:r w:rsidR="00AF77CB" w:rsidRPr="0057368A">
              <w:rPr>
                <w:rFonts w:ascii="Arial" w:eastAsia="Times New Roman" w:hAnsi="Arial" w:cs="Arial"/>
                <w:bCs/>
                <w:color w:val="000000"/>
                <w:sz w:val="20"/>
                <w:szCs w:val="20"/>
              </w:rPr>
              <w:t xml:space="preserve">19:1060-1072. </w:t>
            </w:r>
          </w:p>
          <w:p w:rsidR="00AF77CB" w:rsidRPr="0057368A" w:rsidRDefault="007D3AA6" w:rsidP="00AF77CB">
            <w:pPr>
              <w:jc w:val="both"/>
              <w:rPr>
                <w:rFonts w:ascii="Arial" w:hAnsi="Arial" w:cs="Arial"/>
                <w:sz w:val="20"/>
                <w:szCs w:val="20"/>
              </w:rPr>
            </w:pPr>
            <w:r w:rsidRPr="0057368A">
              <w:rPr>
                <w:rFonts w:ascii="Arial" w:eastAsia="Times New Roman" w:hAnsi="Arial" w:cs="Arial"/>
                <w:bCs/>
                <w:color w:val="000000"/>
                <w:sz w:val="20"/>
                <w:szCs w:val="20"/>
              </w:rPr>
              <w:t>Scott CL et al</w:t>
            </w:r>
            <w:r w:rsidR="00AF77CB" w:rsidRPr="0057368A">
              <w:rPr>
                <w:rFonts w:ascii="Arial" w:eastAsia="Times New Roman" w:hAnsi="Arial" w:cs="Arial"/>
                <w:bCs/>
                <w:color w:val="000000"/>
                <w:sz w:val="20"/>
                <w:szCs w:val="20"/>
              </w:rPr>
              <w:t xml:space="preserve">. (2016). </w:t>
            </w:r>
            <w:r w:rsidR="00AF77CB" w:rsidRPr="0057368A">
              <w:rPr>
                <w:rFonts w:ascii="Arial" w:eastAsia="Times New Roman" w:hAnsi="Arial" w:cs="Arial"/>
                <w:b/>
                <w:bCs/>
                <w:i/>
                <w:color w:val="000000"/>
                <w:sz w:val="20"/>
                <w:szCs w:val="20"/>
              </w:rPr>
              <w:t>J Exp Med</w:t>
            </w:r>
            <w:r w:rsidR="00AF77CB" w:rsidRPr="0057368A">
              <w:rPr>
                <w:rFonts w:ascii="Arial" w:eastAsia="Times New Roman" w:hAnsi="Arial" w:cs="Arial"/>
                <w:bCs/>
                <w:i/>
                <w:color w:val="000000"/>
                <w:sz w:val="20"/>
                <w:szCs w:val="20"/>
              </w:rPr>
              <w:t>.</w:t>
            </w:r>
            <w:r w:rsidR="00AF77CB" w:rsidRPr="0057368A">
              <w:rPr>
                <w:rFonts w:ascii="Arial" w:eastAsia="Times New Roman" w:hAnsi="Arial" w:cs="Arial"/>
                <w:i/>
                <w:iCs/>
                <w:sz w:val="20"/>
                <w:szCs w:val="20"/>
                <w:lang w:val="en-AU"/>
              </w:rPr>
              <w:t xml:space="preserve"> </w:t>
            </w:r>
            <w:r w:rsidR="00AF77CB" w:rsidRPr="0057368A">
              <w:rPr>
                <w:rFonts w:ascii="Arial" w:eastAsia="Times New Roman" w:hAnsi="Arial" w:cs="Arial"/>
                <w:bCs/>
                <w:iCs/>
                <w:color w:val="000000"/>
                <w:sz w:val="20"/>
                <w:szCs w:val="20"/>
                <w:lang w:val="en-AU"/>
              </w:rPr>
              <w:t>213:897-911.</w:t>
            </w:r>
          </w:p>
          <w:p w:rsidR="00AF77CB" w:rsidRPr="0057368A" w:rsidRDefault="00AF77CB" w:rsidP="00AF77CB">
            <w:pPr>
              <w:jc w:val="both"/>
              <w:rPr>
                <w:rFonts w:ascii="Arial" w:eastAsia="Times New Roman" w:hAnsi="Arial" w:cs="Arial"/>
                <w:sz w:val="20"/>
                <w:szCs w:val="20"/>
                <w:lang w:val="en-AU"/>
              </w:rPr>
            </w:pPr>
            <w:r w:rsidRPr="0057368A">
              <w:rPr>
                <w:rFonts w:ascii="Arial" w:eastAsia="Times New Roman" w:hAnsi="Arial" w:cs="Arial"/>
                <w:bCs/>
                <w:color w:val="000000"/>
                <w:sz w:val="20"/>
                <w:szCs w:val="20"/>
              </w:rPr>
              <w:t>Gomes Fernandes</w:t>
            </w:r>
            <w:r w:rsidR="007D3AA6" w:rsidRPr="0057368A">
              <w:rPr>
                <w:rFonts w:ascii="Arial" w:eastAsia="Times New Roman" w:hAnsi="Arial" w:cs="Arial"/>
                <w:bCs/>
                <w:color w:val="000000"/>
                <w:sz w:val="20"/>
                <w:szCs w:val="20"/>
              </w:rPr>
              <w:t xml:space="preserve"> M et al.</w:t>
            </w:r>
            <w:r w:rsidRPr="0057368A">
              <w:rPr>
                <w:rFonts w:ascii="Arial" w:eastAsia="Times New Roman" w:hAnsi="Arial" w:cs="Arial"/>
                <w:bCs/>
                <w:color w:val="000000"/>
                <w:sz w:val="20"/>
                <w:szCs w:val="20"/>
              </w:rPr>
              <w:t xml:space="preserve">. (2016). </w:t>
            </w:r>
            <w:r w:rsidRPr="0057368A">
              <w:rPr>
                <w:rFonts w:ascii="Arial" w:eastAsia="Times New Roman" w:hAnsi="Arial" w:cs="Arial"/>
                <w:b/>
                <w:i/>
                <w:sz w:val="20"/>
                <w:szCs w:val="20"/>
                <w:lang w:val="en-AU"/>
              </w:rPr>
              <w:t>J Exp Med</w:t>
            </w:r>
            <w:r w:rsidRPr="0057368A">
              <w:rPr>
                <w:rFonts w:ascii="Arial" w:eastAsia="Times New Roman" w:hAnsi="Arial" w:cs="Arial"/>
                <w:sz w:val="20"/>
                <w:szCs w:val="20"/>
                <w:lang w:val="en-AU"/>
              </w:rPr>
              <w:t>. 212, 2015-2025.</w:t>
            </w:r>
          </w:p>
          <w:p w:rsidR="00AF77CB" w:rsidRPr="0057368A" w:rsidRDefault="007D3AA6" w:rsidP="00AF77CB">
            <w:pPr>
              <w:jc w:val="both"/>
              <w:rPr>
                <w:rFonts w:ascii="Arial" w:hAnsi="Arial" w:cs="Arial"/>
                <w:sz w:val="20"/>
                <w:szCs w:val="20"/>
                <w:lang w:val="nl-NL"/>
              </w:rPr>
            </w:pPr>
            <w:r w:rsidRPr="0057368A">
              <w:rPr>
                <w:rFonts w:ascii="Arial" w:eastAsia="Times New Roman" w:hAnsi="Arial" w:cs="Arial"/>
                <w:sz w:val="20"/>
                <w:szCs w:val="20"/>
                <w:lang w:val="nl-NL"/>
              </w:rPr>
              <w:t xml:space="preserve">Omilusik KD et al </w:t>
            </w:r>
            <w:r w:rsidR="00AF77CB" w:rsidRPr="0057368A">
              <w:rPr>
                <w:rFonts w:ascii="Arial" w:eastAsia="Times New Roman" w:hAnsi="Arial" w:cs="Arial"/>
                <w:sz w:val="20"/>
                <w:szCs w:val="20"/>
                <w:lang w:val="nl-NL"/>
              </w:rPr>
              <w:t xml:space="preserve">(2015). </w:t>
            </w:r>
            <w:r w:rsidR="00AF77CB" w:rsidRPr="0057368A">
              <w:rPr>
                <w:rFonts w:ascii="Arial" w:eastAsia="Times New Roman" w:hAnsi="Arial" w:cs="Arial"/>
                <w:b/>
                <w:i/>
                <w:sz w:val="20"/>
                <w:szCs w:val="20"/>
                <w:lang w:val="nl-NL"/>
              </w:rPr>
              <w:t>J Exp Med</w:t>
            </w:r>
            <w:r w:rsidR="00AF77CB" w:rsidRPr="0057368A">
              <w:rPr>
                <w:rFonts w:ascii="Arial" w:eastAsia="Times New Roman" w:hAnsi="Arial" w:cs="Arial"/>
                <w:sz w:val="20"/>
                <w:szCs w:val="20"/>
                <w:lang w:val="nl-NL"/>
              </w:rPr>
              <w:t>. 212, 2027-2039.</w:t>
            </w:r>
          </w:p>
          <w:p w:rsidR="00001B98" w:rsidRPr="00B965A7" w:rsidRDefault="007D3AA6" w:rsidP="007D3AA6">
            <w:pPr>
              <w:jc w:val="both"/>
              <w:rPr>
                <w:rFonts w:ascii="Arial" w:eastAsia="Times New Roman" w:hAnsi="Arial" w:cs="Arial"/>
                <w:sz w:val="18"/>
                <w:szCs w:val="18"/>
              </w:rPr>
            </w:pPr>
            <w:r w:rsidRPr="0057368A">
              <w:rPr>
                <w:rFonts w:ascii="Arial" w:eastAsia="Times New Roman" w:hAnsi="Arial" w:cs="Arial"/>
                <w:sz w:val="20"/>
                <w:szCs w:val="20"/>
                <w:lang w:val="nl-NL"/>
              </w:rPr>
              <w:t>van den Berghe V et al</w:t>
            </w:r>
            <w:r w:rsidR="00AF77CB" w:rsidRPr="0057368A">
              <w:rPr>
                <w:rFonts w:ascii="Arial" w:eastAsia="Times New Roman" w:hAnsi="Arial" w:cs="Arial"/>
                <w:sz w:val="20"/>
                <w:szCs w:val="20"/>
                <w:lang w:val="nl-NL"/>
              </w:rPr>
              <w:t xml:space="preserve"> (2013). </w:t>
            </w:r>
            <w:r w:rsidR="00AF77CB" w:rsidRPr="0057368A">
              <w:rPr>
                <w:rFonts w:ascii="Arial" w:eastAsia="Times New Roman" w:hAnsi="Arial" w:cs="Arial"/>
                <w:b/>
                <w:i/>
                <w:sz w:val="20"/>
                <w:szCs w:val="20"/>
                <w:lang w:val="en-AU"/>
              </w:rPr>
              <w:t>Neuron</w:t>
            </w:r>
            <w:r w:rsidR="00AF77CB" w:rsidRPr="0057368A">
              <w:rPr>
                <w:rFonts w:ascii="Arial" w:eastAsia="Times New Roman" w:hAnsi="Arial" w:cs="Arial"/>
                <w:sz w:val="20"/>
                <w:szCs w:val="20"/>
                <w:lang w:val="en-AU"/>
              </w:rPr>
              <w:t xml:space="preserve"> 77, 70-82. </w:t>
            </w:r>
          </w:p>
        </w:tc>
      </w:tr>
      <w:tr w:rsidR="00001B98" w:rsidRPr="00B965A7" w:rsidTr="00AF77CB">
        <w:trPr>
          <w:trHeight w:val="372"/>
        </w:trPr>
        <w:tc>
          <w:tcPr>
            <w:tcW w:w="2307" w:type="dxa"/>
            <w:tcBorders>
              <w:top w:val="single" w:sz="4" w:space="0" w:color="auto"/>
              <w:left w:val="single" w:sz="4" w:space="0" w:color="auto"/>
              <w:bottom w:val="single" w:sz="4" w:space="0" w:color="auto"/>
              <w:right w:val="single" w:sz="4" w:space="0" w:color="auto"/>
            </w:tcBorders>
            <w:shd w:val="clear" w:color="auto" w:fill="auto"/>
          </w:tcPr>
          <w:p w:rsidR="00001B98" w:rsidRPr="00B965A7" w:rsidRDefault="00001B98" w:rsidP="004E171E">
            <w:pPr>
              <w:rPr>
                <w:rFonts w:ascii="Arial" w:hAnsi="Arial" w:cs="Arial"/>
                <w:b/>
                <w:i/>
                <w:sz w:val="22"/>
              </w:rPr>
            </w:pPr>
            <w:r w:rsidRPr="00B965A7">
              <w:rPr>
                <w:rFonts w:ascii="Arial" w:hAnsi="Arial" w:cs="Arial"/>
                <w:b/>
                <w:i/>
                <w:sz w:val="22"/>
              </w:rPr>
              <w:t>Project Title:</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001B98" w:rsidRPr="00B965A7" w:rsidRDefault="00AF77CB" w:rsidP="00AF77CB">
            <w:pPr>
              <w:jc w:val="both"/>
              <w:rPr>
                <w:rFonts w:ascii="Arial" w:hAnsi="Arial" w:cs="Arial"/>
                <w:b/>
              </w:rPr>
            </w:pPr>
            <w:r w:rsidRPr="00B965A7">
              <w:rPr>
                <w:rFonts w:ascii="Arial" w:hAnsi="Arial" w:cs="Arial"/>
                <w:b/>
              </w:rPr>
              <w:t>Systems/Omics approaches to study nuclear interpretation of BMP signaling in stem/progenitor cells</w:t>
            </w:r>
            <w:r w:rsidR="0057368A">
              <w:rPr>
                <w:rFonts w:ascii="Arial" w:hAnsi="Arial" w:cs="Arial"/>
                <w:b/>
              </w:rPr>
              <w:t>: ZEB2</w:t>
            </w:r>
          </w:p>
        </w:tc>
      </w:tr>
      <w:tr w:rsidR="00001B98" w:rsidRPr="00B965A7" w:rsidTr="00B965A7">
        <w:trPr>
          <w:trHeight w:val="558"/>
        </w:trPr>
        <w:tc>
          <w:tcPr>
            <w:tcW w:w="2307" w:type="dxa"/>
            <w:tcBorders>
              <w:top w:val="single" w:sz="4" w:space="0" w:color="auto"/>
              <w:left w:val="single" w:sz="4" w:space="0" w:color="auto"/>
              <w:bottom w:val="single" w:sz="4" w:space="0" w:color="auto"/>
              <w:right w:val="single" w:sz="4" w:space="0" w:color="auto"/>
            </w:tcBorders>
            <w:shd w:val="clear" w:color="auto" w:fill="auto"/>
          </w:tcPr>
          <w:p w:rsidR="00001B98" w:rsidRPr="00B965A7" w:rsidRDefault="00001B98" w:rsidP="004E171E">
            <w:pPr>
              <w:rPr>
                <w:rFonts w:ascii="Arial" w:hAnsi="Arial" w:cs="Arial"/>
                <w:b/>
                <w:i/>
                <w:sz w:val="22"/>
              </w:rPr>
            </w:pPr>
            <w:r w:rsidRPr="00B965A7">
              <w:rPr>
                <w:rFonts w:ascii="Arial" w:hAnsi="Arial" w:cs="Arial"/>
                <w:b/>
                <w:i/>
                <w:sz w:val="22"/>
              </w:rPr>
              <w:t>Abstract:</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001B98" w:rsidRPr="00B965A7" w:rsidRDefault="007D3AA6" w:rsidP="00B965A7">
            <w:pPr>
              <w:pStyle w:val="a4"/>
              <w:rPr>
                <w:rFonts w:ascii="Arial" w:hAnsi="Arial" w:cs="Arial"/>
                <w:sz w:val="21"/>
                <w:szCs w:val="21"/>
              </w:rPr>
            </w:pPr>
            <w:r w:rsidRPr="00B965A7">
              <w:rPr>
                <w:rFonts w:ascii="Arial" w:hAnsi="Arial" w:cs="Arial"/>
                <w:sz w:val="21"/>
                <w:szCs w:val="21"/>
              </w:rPr>
              <w:t xml:space="preserve">BMP signaling controls multiple cellular processes during embryogenesis and its developmental actions are recapitulated during tissue/organ repair. We </w:t>
            </w:r>
            <w:r w:rsidR="00B965A7" w:rsidRPr="00B965A7">
              <w:rPr>
                <w:rFonts w:ascii="Arial" w:hAnsi="Arial" w:cs="Arial"/>
                <w:sz w:val="21"/>
                <w:szCs w:val="21"/>
              </w:rPr>
              <w:t xml:space="preserve">address the the multi-functional and multi-modal actions of the Mowat-Wilson Syndrome transcription factor ZEB2. Phenotypic analysis of conditional </w:t>
            </w:r>
            <w:r w:rsidR="00B965A7" w:rsidRPr="00B965A7">
              <w:rPr>
                <w:rFonts w:ascii="Arial" w:hAnsi="Arial" w:cs="Arial"/>
                <w:i/>
                <w:sz w:val="21"/>
                <w:szCs w:val="21"/>
              </w:rPr>
              <w:t>Zeb2</w:t>
            </w:r>
            <w:r w:rsidR="00B965A7" w:rsidRPr="00B965A7">
              <w:rPr>
                <w:rFonts w:ascii="Arial" w:hAnsi="Arial" w:cs="Arial"/>
                <w:sz w:val="21"/>
                <w:szCs w:val="21"/>
              </w:rPr>
              <w:t xml:space="preserve"> KO mice, combined with biochemistry/omics has revealed multiple functions and mechanisms of action of the Smad-interacting protein Zeb2. Altogether, these models explain major aspects of Mowat-Wilson Syndrome (MOWS, OMIM#235730), including intellectual disability (brain cortex development), epilepsy (GABAerigc interneurons in the ventral forebrain), Hirschsprung disease (neural crest, enteric nervous system) and other defects, including in neural crest derived craniofacial development. Additional mouse models reveal hitherto unknown and sometimes unexpected functions in e.g. myelinogenesis and (re)myelination, maturation of subtypes of immune cell, and Zeb2-mediated cardiac repair attempts in the infarcted heart. Our present work continues to study Zeb2 in neuronal and glial cells of the central and peripheral nervous systems, in neural differentiation of ESCs and iPSCs including from MOWS patients with new types of </w:t>
            </w:r>
            <w:r w:rsidR="00B965A7" w:rsidRPr="00B965A7">
              <w:rPr>
                <w:rFonts w:ascii="Arial" w:hAnsi="Arial" w:cs="Arial"/>
                <w:i/>
                <w:sz w:val="21"/>
                <w:szCs w:val="21"/>
              </w:rPr>
              <w:t>ZEB2</w:t>
            </w:r>
            <w:r w:rsidR="00B965A7" w:rsidRPr="00B965A7">
              <w:rPr>
                <w:rFonts w:ascii="Arial" w:hAnsi="Arial" w:cs="Arial"/>
                <w:sz w:val="21"/>
                <w:szCs w:val="21"/>
              </w:rPr>
              <w:t xml:space="preserve"> mutation and comparing the transcriptomes of the iPSCs under various differentiation protocols, also using cerebral organoids, and on Zeb2’s role in adult neurogenesis. We have identified Zeb2-dependent genes (RNA-Seq in </w:t>
            </w:r>
            <w:r w:rsidR="00B965A7" w:rsidRPr="00B965A7">
              <w:rPr>
                <w:rFonts w:ascii="Arial" w:hAnsi="Arial" w:cs="Arial"/>
                <w:i/>
                <w:sz w:val="21"/>
                <w:szCs w:val="21"/>
              </w:rPr>
              <w:t>Zeb2</w:t>
            </w:r>
            <w:r w:rsidR="00B965A7" w:rsidRPr="00B965A7">
              <w:rPr>
                <w:rFonts w:ascii="Arial" w:hAnsi="Arial" w:cs="Arial"/>
                <w:sz w:val="21"/>
                <w:szCs w:val="21"/>
              </w:rPr>
              <w:t>-KO cells) and novel protein partners (tag-Zeb2 proteomics), and are mapping Zeb2 genome-wide binding sites (ChIP-Seq) and post-translational modifications affecting its stability. Importantly, novel insights in Zeb2 locus regulation itself by distant regulatory elements, which are likely relevant to MOWS as well, were obtained by using targeted chromatin conformation capture. In addition to these studies, we would like to produce our own sets of genome-wide binding sites data for Smad1/5 binding in unstimulated and BMP/Nodal-stimulated ESCs, and compare these to Zeb2 binding sites, which will involve taking the cells into mesendodermal differentiation. Subsequent skeletal muscle differentiation is an option as well. Last, but not least, new projects are envisaged to study Zeb2 in various cancers, where together with its locus encoded lncRNA and its regulatory miRNAs it is studied intensively, by virtue of setting up tumor-immune cell (and other cell types) spheroids.</w:t>
            </w:r>
          </w:p>
        </w:tc>
      </w:tr>
      <w:tr w:rsidR="00001B98" w:rsidRPr="00B965A7" w:rsidTr="00AF77CB">
        <w:trPr>
          <w:trHeight w:val="982"/>
        </w:trPr>
        <w:tc>
          <w:tcPr>
            <w:tcW w:w="2307" w:type="dxa"/>
            <w:tcBorders>
              <w:top w:val="single" w:sz="4" w:space="0" w:color="auto"/>
              <w:left w:val="single" w:sz="4" w:space="0" w:color="auto"/>
              <w:bottom w:val="single" w:sz="4" w:space="0" w:color="auto"/>
              <w:right w:val="single" w:sz="4" w:space="0" w:color="auto"/>
            </w:tcBorders>
            <w:shd w:val="clear" w:color="auto" w:fill="auto"/>
          </w:tcPr>
          <w:p w:rsidR="00001B98" w:rsidRPr="00B965A7" w:rsidRDefault="00001B98" w:rsidP="004E171E">
            <w:pPr>
              <w:rPr>
                <w:rFonts w:ascii="Arial" w:hAnsi="Arial" w:cs="Arial"/>
                <w:b/>
                <w:i/>
                <w:sz w:val="22"/>
                <w:szCs w:val="22"/>
              </w:rPr>
            </w:pPr>
            <w:r w:rsidRPr="00B965A7">
              <w:rPr>
                <w:rFonts w:ascii="Arial" w:hAnsi="Arial" w:cs="Arial"/>
                <w:b/>
                <w:i/>
                <w:sz w:val="22"/>
                <w:szCs w:val="22"/>
              </w:rPr>
              <w:t>Requirements of candidate:</w:t>
            </w:r>
          </w:p>
        </w:tc>
        <w:tc>
          <w:tcPr>
            <w:tcW w:w="7049" w:type="dxa"/>
            <w:tcBorders>
              <w:top w:val="single" w:sz="4" w:space="0" w:color="auto"/>
              <w:left w:val="single" w:sz="4" w:space="0" w:color="auto"/>
              <w:bottom w:val="single" w:sz="4" w:space="0" w:color="auto"/>
              <w:right w:val="single" w:sz="4" w:space="0" w:color="auto"/>
            </w:tcBorders>
            <w:shd w:val="clear" w:color="auto" w:fill="auto"/>
          </w:tcPr>
          <w:p w:rsidR="00AF77CB" w:rsidRPr="00B965A7" w:rsidRDefault="00AF77CB" w:rsidP="00AF77CB">
            <w:pPr>
              <w:numPr>
                <w:ilvl w:val="0"/>
                <w:numId w:val="1"/>
              </w:numPr>
              <w:ind w:left="387"/>
              <w:rPr>
                <w:rFonts w:ascii="Arial" w:hAnsi="Arial" w:cs="Arial"/>
                <w:sz w:val="16"/>
                <w:szCs w:val="16"/>
              </w:rPr>
            </w:pPr>
            <w:r w:rsidRPr="00B965A7">
              <w:rPr>
                <w:rFonts w:ascii="Arial" w:hAnsi="Arial" w:cs="Arial"/>
                <w:sz w:val="16"/>
                <w:szCs w:val="16"/>
              </w:rPr>
              <w:t>We are looking for highly motivated, talented students to join our international team.</w:t>
            </w:r>
          </w:p>
          <w:p w:rsidR="00AF77CB" w:rsidRPr="00B965A7" w:rsidRDefault="00AF77CB" w:rsidP="00AF77CB">
            <w:pPr>
              <w:numPr>
                <w:ilvl w:val="0"/>
                <w:numId w:val="1"/>
              </w:numPr>
              <w:ind w:left="387"/>
              <w:rPr>
                <w:rFonts w:ascii="Arial" w:hAnsi="Arial" w:cs="Arial"/>
                <w:sz w:val="16"/>
                <w:szCs w:val="16"/>
              </w:rPr>
            </w:pPr>
            <w:r w:rsidRPr="00B965A7">
              <w:rPr>
                <w:rFonts w:ascii="Arial" w:hAnsi="Arial" w:cs="Arial"/>
                <w:sz w:val="16"/>
                <w:szCs w:val="16"/>
              </w:rPr>
              <w:t>Master degree or MD.</w:t>
            </w:r>
          </w:p>
          <w:p w:rsidR="00AF77CB" w:rsidRPr="00B965A7" w:rsidRDefault="00AF77CB" w:rsidP="00AF77CB">
            <w:pPr>
              <w:numPr>
                <w:ilvl w:val="0"/>
                <w:numId w:val="1"/>
              </w:numPr>
              <w:ind w:left="387"/>
              <w:rPr>
                <w:rFonts w:ascii="Arial" w:hAnsi="Arial" w:cs="Arial"/>
                <w:sz w:val="16"/>
                <w:szCs w:val="16"/>
              </w:rPr>
            </w:pPr>
            <w:r w:rsidRPr="00B965A7">
              <w:rPr>
                <w:rFonts w:ascii="Arial" w:hAnsi="Arial" w:cs="Arial"/>
                <w:sz w:val="16"/>
                <w:szCs w:val="16"/>
              </w:rPr>
              <w:t>A fair scholarship that covers subsistence allowance and international air plane ticket.</w:t>
            </w:r>
          </w:p>
          <w:p w:rsidR="00AF77CB" w:rsidRPr="00B965A7" w:rsidRDefault="00AF77CB" w:rsidP="00AF77CB">
            <w:pPr>
              <w:numPr>
                <w:ilvl w:val="0"/>
                <w:numId w:val="1"/>
              </w:numPr>
              <w:ind w:left="387"/>
              <w:rPr>
                <w:rFonts w:ascii="Arial" w:hAnsi="Arial" w:cs="Arial"/>
                <w:sz w:val="16"/>
                <w:szCs w:val="16"/>
              </w:rPr>
            </w:pPr>
            <w:r w:rsidRPr="00B965A7">
              <w:rPr>
                <w:rFonts w:ascii="Arial" w:hAnsi="Arial" w:cs="Arial"/>
                <w:sz w:val="16"/>
                <w:szCs w:val="16"/>
              </w:rPr>
              <w:t>Working in the lab requires that the student has good communication skills.</w:t>
            </w:r>
          </w:p>
          <w:p w:rsidR="00AF77CB" w:rsidRPr="00B965A7" w:rsidRDefault="00AF77CB" w:rsidP="00AF77CB">
            <w:pPr>
              <w:numPr>
                <w:ilvl w:val="0"/>
                <w:numId w:val="1"/>
              </w:numPr>
              <w:ind w:left="387"/>
              <w:rPr>
                <w:rFonts w:ascii="Arial" w:hAnsi="Arial" w:cs="Arial"/>
                <w:sz w:val="16"/>
                <w:szCs w:val="16"/>
              </w:rPr>
            </w:pPr>
            <w:r w:rsidRPr="00B965A7">
              <w:rPr>
                <w:rFonts w:ascii="Arial" w:hAnsi="Arial" w:cs="Arial"/>
                <w:sz w:val="16"/>
                <w:szCs w:val="16"/>
              </w:rPr>
              <w:t>English language requirement:</w:t>
            </w:r>
          </w:p>
          <w:p w:rsidR="00AF77CB" w:rsidRPr="00B965A7" w:rsidRDefault="00AF77CB" w:rsidP="00AF77CB">
            <w:pPr>
              <w:ind w:left="387"/>
              <w:rPr>
                <w:rFonts w:ascii="Arial" w:hAnsi="Arial" w:cs="Arial"/>
                <w:sz w:val="16"/>
                <w:szCs w:val="16"/>
              </w:rPr>
            </w:pPr>
            <w:r w:rsidRPr="00B965A7">
              <w:rPr>
                <w:rFonts w:ascii="Arial" w:hAnsi="Arial" w:cs="Arial"/>
                <w:i/>
                <w:sz w:val="16"/>
                <w:szCs w:val="16"/>
              </w:rPr>
              <w:tab/>
              <w:t>English speaking countries &amp; Netherlands:</w:t>
            </w:r>
            <w:r w:rsidRPr="00B965A7">
              <w:rPr>
                <w:rFonts w:ascii="Arial" w:hAnsi="Arial" w:cs="Arial"/>
                <w:sz w:val="16"/>
                <w:szCs w:val="16"/>
              </w:rPr>
              <w:t xml:space="preserve"> no requirement</w:t>
            </w:r>
          </w:p>
          <w:p w:rsidR="00001B98" w:rsidRPr="00B965A7" w:rsidRDefault="00AF77CB" w:rsidP="00AF77CB">
            <w:pPr>
              <w:ind w:left="387"/>
              <w:rPr>
                <w:rFonts w:ascii="Arial" w:hAnsi="Arial" w:cs="Arial"/>
                <w:i/>
                <w:sz w:val="16"/>
                <w:szCs w:val="16"/>
              </w:rPr>
            </w:pPr>
            <w:r w:rsidRPr="00B965A7">
              <w:rPr>
                <w:rFonts w:ascii="Arial" w:hAnsi="Arial" w:cs="Arial"/>
                <w:i/>
                <w:sz w:val="16"/>
                <w:szCs w:val="16"/>
              </w:rPr>
              <w:tab/>
              <w:t>Other countries:</w:t>
            </w:r>
            <w:r w:rsidRPr="00B965A7">
              <w:rPr>
                <w:rFonts w:ascii="Arial" w:hAnsi="Arial" w:cs="Arial"/>
                <w:sz w:val="16"/>
                <w:szCs w:val="16"/>
              </w:rPr>
              <w:t xml:space="preserve"> IELTS 7.0 </w:t>
            </w:r>
            <w:r w:rsidRPr="00B965A7">
              <w:rPr>
                <w:rFonts w:ascii="Arial" w:hAnsi="Arial" w:cs="Arial"/>
                <w:i/>
                <w:sz w:val="16"/>
                <w:szCs w:val="16"/>
              </w:rPr>
              <w:t>(min 6.0 for all subs)</w:t>
            </w:r>
            <w:r w:rsidRPr="00B965A7">
              <w:rPr>
                <w:rFonts w:ascii="Arial" w:hAnsi="Arial" w:cs="Arial"/>
                <w:sz w:val="16"/>
                <w:szCs w:val="16"/>
              </w:rPr>
              <w:t xml:space="preserve">, TOEFL 100 </w:t>
            </w:r>
            <w:r w:rsidRPr="00B965A7">
              <w:rPr>
                <w:rFonts w:ascii="Arial" w:hAnsi="Arial" w:cs="Arial"/>
                <w:i/>
                <w:sz w:val="16"/>
                <w:szCs w:val="16"/>
              </w:rPr>
              <w:t xml:space="preserve">(min 20 for all subs) </w:t>
            </w:r>
          </w:p>
        </w:tc>
      </w:tr>
      <w:bookmarkEnd w:id="0"/>
    </w:tbl>
    <w:p w:rsidR="00092242" w:rsidRDefault="00092242">
      <w:pPr>
        <w:rPr>
          <w:rFonts w:hint="eastAsia"/>
          <w:lang w:eastAsia="zh-CN"/>
        </w:rPr>
      </w:pPr>
    </w:p>
    <w:p w:rsidR="00985E46" w:rsidRDefault="00985E46" w:rsidP="00985E46">
      <w:pPr>
        <w:rPr>
          <w:rFonts w:hint="eastAsia"/>
          <w:b/>
        </w:rPr>
      </w:pPr>
      <w:r w:rsidRPr="009174BA">
        <w:rPr>
          <w:b/>
        </w:rPr>
        <w:lastRenderedPageBreak/>
        <w:t xml:space="preserve">2020 CSC-PhD programme information will be shared and updated online: </w:t>
      </w:r>
      <w:hyperlink r:id="rId8" w:history="1">
        <w:r w:rsidRPr="009174BA">
          <w:rPr>
            <w:rStyle w:val="a3"/>
            <w:b/>
          </w:rPr>
          <w:t>https://www.eur.nl/en/about-eur/erasmus-university-china-center-0/cscscholarship/prospectivephd-candidates</w:t>
        </w:r>
      </w:hyperlink>
      <w:r w:rsidRPr="009174BA">
        <w:rPr>
          <w:rFonts w:hint="eastAsia"/>
          <w:b/>
        </w:rPr>
        <w:t xml:space="preserve"> </w:t>
      </w:r>
    </w:p>
    <w:p w:rsidR="00985E46" w:rsidRDefault="00985E46" w:rsidP="00985E46">
      <w:pPr>
        <w:rPr>
          <w:rFonts w:hint="eastAsia"/>
          <w:b/>
        </w:rPr>
      </w:pPr>
    </w:p>
    <w:p w:rsidR="00985E46" w:rsidRPr="009174BA" w:rsidRDefault="00985E46" w:rsidP="00985E46">
      <w:pPr>
        <w:rPr>
          <w:rFonts w:ascii="Arial" w:hAnsi="Arial" w:cs="Arial"/>
          <w:b/>
          <w:sz w:val="18"/>
          <w:szCs w:val="18"/>
        </w:rPr>
      </w:pPr>
      <w:r>
        <w:rPr>
          <w:rFonts w:hint="eastAsia"/>
          <w:b/>
        </w:rPr>
        <w:t xml:space="preserve">Application to: </w:t>
      </w:r>
      <w:hyperlink r:id="rId9" w:history="1">
        <w:r w:rsidRPr="00CB10D4">
          <w:rPr>
            <w:rStyle w:val="a3"/>
            <w:rFonts w:hint="eastAsia"/>
            <w:b/>
          </w:rPr>
          <w:t>EuccChinaOffice@eur.nl</w:t>
        </w:r>
      </w:hyperlink>
      <w:r>
        <w:rPr>
          <w:rFonts w:hint="eastAsia"/>
          <w:b/>
        </w:rPr>
        <w:t xml:space="preserve"> before March 10, 2020</w:t>
      </w:r>
    </w:p>
    <w:p w:rsidR="00985E46" w:rsidRPr="00D640BC" w:rsidRDefault="00985E46" w:rsidP="00985E46">
      <w:pPr>
        <w:rPr>
          <w:rFonts w:ascii="Arial" w:hAnsi="Arial" w:cs="Arial"/>
          <w:sz w:val="18"/>
          <w:szCs w:val="18"/>
        </w:rPr>
      </w:pPr>
    </w:p>
    <w:p w:rsidR="00985E46" w:rsidRPr="00985E46" w:rsidRDefault="00985E46">
      <w:pPr>
        <w:rPr>
          <w:rFonts w:hint="eastAsia"/>
          <w:lang w:eastAsia="zh-CN"/>
        </w:rPr>
      </w:pPr>
    </w:p>
    <w:sectPr w:rsidR="00985E46" w:rsidRPr="00985E46" w:rsidSect="00763DC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FC1" w:rsidRDefault="00882FC1" w:rsidP="00985E46">
      <w:r>
        <w:separator/>
      </w:r>
    </w:p>
  </w:endnote>
  <w:endnote w:type="continuationSeparator" w:id="1">
    <w:p w:rsidR="00882FC1" w:rsidRDefault="00882FC1" w:rsidP="00985E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FC1" w:rsidRDefault="00882FC1" w:rsidP="00985E46">
      <w:r>
        <w:separator/>
      </w:r>
    </w:p>
  </w:footnote>
  <w:footnote w:type="continuationSeparator" w:id="1">
    <w:p w:rsidR="00882FC1" w:rsidRDefault="00882FC1" w:rsidP="00985E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F46E69"/>
    <w:multiLevelType w:val="hybridMultilevel"/>
    <w:tmpl w:val="A0D0E310"/>
    <w:lvl w:ilvl="0" w:tplc="CC8005F4">
      <w:numFmt w:val="bullet"/>
      <w:lvlText w:val="-"/>
      <w:lvlJc w:val="left"/>
      <w:pPr>
        <w:ind w:left="360" w:hanging="360"/>
      </w:pPr>
      <w:rPr>
        <w:rFonts w:ascii="Arial" w:eastAsia="SimSu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bordersDoNotSurroundHeader/>
  <w:bordersDoNotSurroundFooter/>
  <w:defaultTabStop w:val="708"/>
  <w:hyphenationZone w:val="425"/>
  <w:characterSpacingControl w:val="doNotCompress"/>
  <w:hdrShapeDefaults>
    <o:shapedefaults v:ext="edit" spidmax="3074"/>
  </w:hdrShapeDefaults>
  <w:footnotePr>
    <w:footnote w:id="0"/>
    <w:footnote w:id="1"/>
  </w:footnotePr>
  <w:endnotePr>
    <w:endnote w:id="0"/>
    <w:endnote w:id="1"/>
  </w:endnotePr>
  <w:compat>
    <w:useFELayout/>
  </w:compat>
  <w:rsids>
    <w:rsidRoot w:val="0068271C"/>
    <w:rsid w:val="00001B98"/>
    <w:rsid w:val="00092242"/>
    <w:rsid w:val="0057368A"/>
    <w:rsid w:val="0068271C"/>
    <w:rsid w:val="00763DC7"/>
    <w:rsid w:val="007D3AA6"/>
    <w:rsid w:val="00882FC1"/>
    <w:rsid w:val="00985E46"/>
    <w:rsid w:val="00AF77CB"/>
    <w:rsid w:val="00B965A7"/>
    <w:rsid w:val="00F64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B98"/>
    <w:pPr>
      <w:spacing w:after="0" w:line="240" w:lineRule="auto"/>
    </w:pPr>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01B98"/>
    <w:rPr>
      <w:color w:val="0000FF"/>
      <w:u w:val="single"/>
    </w:rPr>
  </w:style>
  <w:style w:type="paragraph" w:styleId="a4">
    <w:name w:val="No Spacing"/>
    <w:uiPriority w:val="1"/>
    <w:qFormat/>
    <w:rsid w:val="00B965A7"/>
    <w:pPr>
      <w:spacing w:after="0" w:line="240" w:lineRule="auto"/>
    </w:pPr>
    <w:rPr>
      <w:sz w:val="24"/>
      <w:szCs w:val="24"/>
      <w:lang w:val="en-US"/>
    </w:rPr>
  </w:style>
  <w:style w:type="paragraph" w:styleId="a5">
    <w:name w:val="header"/>
    <w:basedOn w:val="a"/>
    <w:link w:val="Char"/>
    <w:uiPriority w:val="99"/>
    <w:semiHidden/>
    <w:unhideWhenUsed/>
    <w:rsid w:val="00985E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985E46"/>
    <w:rPr>
      <w:sz w:val="18"/>
      <w:szCs w:val="18"/>
      <w:lang w:val="en-US"/>
    </w:rPr>
  </w:style>
  <w:style w:type="paragraph" w:styleId="a6">
    <w:name w:val="footer"/>
    <w:basedOn w:val="a"/>
    <w:link w:val="Char0"/>
    <w:uiPriority w:val="99"/>
    <w:semiHidden/>
    <w:unhideWhenUsed/>
    <w:rsid w:val="00985E46"/>
    <w:pPr>
      <w:tabs>
        <w:tab w:val="center" w:pos="4153"/>
        <w:tab w:val="right" w:pos="8306"/>
      </w:tabs>
      <w:snapToGrid w:val="0"/>
    </w:pPr>
    <w:rPr>
      <w:sz w:val="18"/>
      <w:szCs w:val="18"/>
    </w:rPr>
  </w:style>
  <w:style w:type="character" w:customStyle="1" w:styleId="Char0">
    <w:name w:val="页脚 Char"/>
    <w:basedOn w:val="a0"/>
    <w:link w:val="a6"/>
    <w:uiPriority w:val="99"/>
    <w:semiHidden/>
    <w:rsid w:val="00985E46"/>
    <w:rPr>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B98"/>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01B98"/>
    <w:rPr>
      <w:color w:val="0000FF"/>
      <w:u w:val="single"/>
    </w:rPr>
  </w:style>
  <w:style w:type="paragraph" w:styleId="NoSpacing">
    <w:name w:val="No Spacing"/>
    <w:uiPriority w:val="1"/>
    <w:qFormat/>
    <w:rsid w:val="00B965A7"/>
    <w:pPr>
      <w:spacing w:after="0" w:line="240" w:lineRule="auto"/>
    </w:pPr>
    <w:rPr>
      <w:rFonts w:eastAsiaTheme="minorEastAsia"/>
      <w:sz w:val="24"/>
      <w:szCs w:val="24"/>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nl/en/about-eur/erasmus-university-china-center-0/cscscholarship/prospectivephd-candidates" TargetMode="External"/><Relationship Id="rId3" Type="http://schemas.openxmlformats.org/officeDocument/2006/relationships/settings" Target="settings.xml"/><Relationship Id="rId7" Type="http://schemas.openxmlformats.org/officeDocument/2006/relationships/hyperlink" Target="mailto:d.huylebroeck@erasmusmc.n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uccChinaOffice@eur.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T.L.R. Tan</dc:creator>
  <cp:lastModifiedBy>Windows 用户</cp:lastModifiedBy>
  <cp:revision>4</cp:revision>
  <dcterms:created xsi:type="dcterms:W3CDTF">2019-10-21T11:55:00Z</dcterms:created>
  <dcterms:modified xsi:type="dcterms:W3CDTF">2019-10-24T06:45:00Z</dcterms:modified>
</cp:coreProperties>
</file>