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193E5" w14:textId="77777777" w:rsidR="0097466B" w:rsidRDefault="00D23921" w:rsidP="00FA450D">
      <w:pPr>
        <w:spacing w:after="0"/>
        <w:rPr>
          <w:b/>
          <w:bCs/>
          <w:lang w:val="en-US"/>
        </w:rPr>
      </w:pPr>
      <w:r>
        <w:rPr>
          <w:b/>
          <w:bCs/>
          <w:lang w:val="en-US"/>
        </w:rPr>
        <w:t>Memorandum</w:t>
      </w:r>
      <w:r w:rsidR="00FA450D" w:rsidRPr="00FA450D">
        <w:rPr>
          <w:b/>
          <w:bCs/>
          <w:lang w:val="en-US"/>
        </w:rPr>
        <w:t xml:space="preserve"> on VU Policy Framework International Scholarship PhD</w:t>
      </w:r>
      <w:r w:rsidR="003B08FE">
        <w:rPr>
          <w:b/>
          <w:bCs/>
          <w:lang w:val="en-US"/>
        </w:rPr>
        <w:t xml:space="preserve"> candidates</w:t>
      </w:r>
      <w:r w:rsidR="00FA450D" w:rsidRPr="00FA450D">
        <w:rPr>
          <w:b/>
          <w:bCs/>
          <w:lang w:val="en-US"/>
        </w:rPr>
        <w:t xml:space="preserve"> with additions from </w:t>
      </w:r>
      <w:r w:rsidR="003B08FE">
        <w:rPr>
          <w:b/>
          <w:bCs/>
          <w:lang w:val="en-US"/>
        </w:rPr>
        <w:t>Science F</w:t>
      </w:r>
      <w:r w:rsidR="00FA450D" w:rsidRPr="00FA450D">
        <w:rPr>
          <w:b/>
          <w:bCs/>
          <w:lang w:val="en-US"/>
        </w:rPr>
        <w:t>aculty</w:t>
      </w:r>
      <w:r w:rsidR="0097466B">
        <w:rPr>
          <w:b/>
          <w:bCs/>
          <w:lang w:val="en-US"/>
        </w:rPr>
        <w:t>.</w:t>
      </w:r>
    </w:p>
    <w:p w14:paraId="279ABAE4" w14:textId="00415BC8" w:rsidR="00FA450D" w:rsidRDefault="0097466B" w:rsidP="00FA450D">
      <w:pPr>
        <w:spacing w:after="0"/>
        <w:rPr>
          <w:b/>
          <w:bCs/>
          <w:lang w:val="en-US"/>
        </w:rPr>
      </w:pPr>
      <w:r>
        <w:rPr>
          <w:b/>
          <w:bCs/>
          <w:lang w:val="en-US"/>
        </w:rPr>
        <w:t>The Dutch version is</w:t>
      </w:r>
      <w:r w:rsidR="00FA450D" w:rsidRPr="00FA450D">
        <w:rPr>
          <w:b/>
          <w:bCs/>
          <w:lang w:val="en-US"/>
        </w:rPr>
        <w:t xml:space="preserve"> communicated to PhD council, PhD coordinators, department managers, department heads and </w:t>
      </w:r>
      <w:proofErr w:type="spellStart"/>
      <w:r w:rsidR="00FA450D" w:rsidRPr="00FA450D">
        <w:rPr>
          <w:b/>
          <w:bCs/>
          <w:lang w:val="en-US"/>
        </w:rPr>
        <w:t>HRM.beta</w:t>
      </w:r>
      <w:proofErr w:type="spellEnd"/>
      <w:r w:rsidR="00FA450D" w:rsidRPr="00FA450D">
        <w:rPr>
          <w:b/>
          <w:bCs/>
          <w:lang w:val="en-US"/>
        </w:rPr>
        <w:t xml:space="preserve"> on 02-09-2024</w:t>
      </w:r>
      <w:r>
        <w:rPr>
          <w:b/>
          <w:bCs/>
          <w:lang w:val="en-US"/>
        </w:rPr>
        <w:t>.</w:t>
      </w:r>
      <w:r w:rsidR="003B08FE">
        <w:rPr>
          <w:b/>
          <w:bCs/>
          <w:lang w:val="en-US"/>
        </w:rPr>
        <w:t xml:space="preserve"> </w:t>
      </w:r>
    </w:p>
    <w:p w14:paraId="1C7D2640" w14:textId="0F353A58" w:rsidR="00A0221D" w:rsidRPr="00FA450D" w:rsidRDefault="00A0221D" w:rsidP="00FA450D">
      <w:pPr>
        <w:spacing w:after="0"/>
        <w:rPr>
          <w:b/>
          <w:bCs/>
          <w:lang w:val="en-US"/>
        </w:rPr>
      </w:pPr>
      <w:r w:rsidRPr="00A0221D">
        <w:rPr>
          <w:b/>
          <w:bCs/>
        </w:rPr>
        <w:t>Please note: the document</w:t>
      </w:r>
      <w:r>
        <w:rPr>
          <w:b/>
          <w:bCs/>
        </w:rPr>
        <w:t>s</w:t>
      </w:r>
      <w:r w:rsidRPr="00A0221D">
        <w:rPr>
          <w:b/>
          <w:bCs/>
        </w:rPr>
        <w:t xml:space="preserve"> in Dutch, as adopted by the Executive Board </w:t>
      </w:r>
      <w:r>
        <w:rPr>
          <w:b/>
          <w:bCs/>
        </w:rPr>
        <w:t>of the VU or the Board of the Faculty of Science are</w:t>
      </w:r>
      <w:r w:rsidRPr="00A0221D">
        <w:rPr>
          <w:b/>
          <w:bCs/>
        </w:rPr>
        <w:t xml:space="preserve"> leading</w:t>
      </w:r>
    </w:p>
    <w:p w14:paraId="76009790" w14:textId="51505A41" w:rsidR="00FA450D" w:rsidRPr="00FA450D" w:rsidRDefault="00FA450D" w:rsidP="00FA450D">
      <w:pPr>
        <w:spacing w:after="0"/>
        <w:rPr>
          <w:lang w:val="en-US"/>
        </w:rPr>
      </w:pPr>
      <w:r w:rsidRPr="00FA450D">
        <w:rPr>
          <w:lang w:val="en-US"/>
        </w:rPr>
        <w:t xml:space="preserve">On June 11, 2024, the BOVU adopted the VU Policy Framework for International Scholarship </w:t>
      </w:r>
      <w:r w:rsidR="003B08FE">
        <w:rPr>
          <w:lang w:val="en-US"/>
        </w:rPr>
        <w:t>PhD candidates</w:t>
      </w:r>
      <w:r w:rsidRPr="00FA450D">
        <w:rPr>
          <w:lang w:val="en-US"/>
        </w:rPr>
        <w:t xml:space="preserve"> (</w:t>
      </w:r>
      <w:hyperlink r:id="rId4" w:history="1">
        <w:r w:rsidRPr="00FA450D">
          <w:rPr>
            <w:rStyle w:val="Hyperlink"/>
            <w:lang w:val="en-US"/>
          </w:rPr>
          <w:t>Appendix 1</w:t>
        </w:r>
      </w:hyperlink>
      <w:r w:rsidR="00E24B9D">
        <w:rPr>
          <w:rStyle w:val="Hyperlink"/>
          <w:lang w:val="en-US"/>
        </w:rPr>
        <w:t xml:space="preserve"> (Dutch)</w:t>
      </w:r>
      <w:r w:rsidRPr="00FA450D">
        <w:rPr>
          <w:lang w:val="en-US"/>
        </w:rPr>
        <w:t>)</w:t>
      </w:r>
      <w:r w:rsidR="00E24B9D">
        <w:rPr>
          <w:lang w:val="en-US"/>
        </w:rPr>
        <w:t xml:space="preserve"> (</w:t>
      </w:r>
      <w:hyperlink r:id="rId5" w:history="1">
        <w:r w:rsidR="00E24B9D" w:rsidRPr="006F5E0E">
          <w:rPr>
            <w:rStyle w:val="Hyperlink"/>
            <w:lang w:val="en-US"/>
          </w:rPr>
          <w:t>Appendix 1 (English</w:t>
        </w:r>
      </w:hyperlink>
      <w:r w:rsidR="00E24B9D">
        <w:rPr>
          <w:lang w:val="en-US"/>
        </w:rPr>
        <w:t>)</w:t>
      </w:r>
      <w:r w:rsidRPr="00FA450D">
        <w:rPr>
          <w:lang w:val="en-US"/>
        </w:rPr>
        <w:t xml:space="preserve">. </w:t>
      </w:r>
    </w:p>
    <w:p w14:paraId="0FC36E3F" w14:textId="77777777" w:rsidR="00FA450D" w:rsidRPr="00FA450D" w:rsidRDefault="00FA450D" w:rsidP="00FA450D">
      <w:pPr>
        <w:spacing w:after="0"/>
        <w:rPr>
          <w:lang w:val="en-US"/>
        </w:rPr>
      </w:pPr>
    </w:p>
    <w:p w14:paraId="57690EF9" w14:textId="504AA96A" w:rsidR="00FA450D" w:rsidRPr="00FA450D" w:rsidRDefault="00FA450D" w:rsidP="00FA450D">
      <w:pPr>
        <w:spacing w:after="0"/>
        <w:rPr>
          <w:lang w:val="en-US"/>
        </w:rPr>
      </w:pPr>
      <w:r w:rsidRPr="00FA450D">
        <w:rPr>
          <w:lang w:val="en-US"/>
        </w:rPr>
        <w:t xml:space="preserve">This spring, the BOVU discussed a proposal for a VU policy framework outlining the conditions for admitting international </w:t>
      </w:r>
      <w:r w:rsidR="003B08FE">
        <w:rPr>
          <w:lang w:val="en-US"/>
        </w:rPr>
        <w:t>s</w:t>
      </w:r>
      <w:r w:rsidR="003B08FE" w:rsidRPr="003B08FE">
        <w:rPr>
          <w:lang w:val="en-US"/>
        </w:rPr>
        <w:t>cholarship PhD candidates</w:t>
      </w:r>
      <w:r w:rsidRPr="00FA450D">
        <w:rPr>
          <w:lang w:val="en-US"/>
        </w:rPr>
        <w:t xml:space="preserve">. The BOVU advised positively on the framework. With this message goes the request to implement the VU policy framework International Scholarship PhDs. In doing so, some additions for </w:t>
      </w:r>
      <w:r w:rsidR="00767F46" w:rsidRPr="00FA450D">
        <w:rPr>
          <w:lang w:val="en-US"/>
        </w:rPr>
        <w:t xml:space="preserve">international </w:t>
      </w:r>
      <w:r w:rsidR="00767F46">
        <w:rPr>
          <w:lang w:val="en-US"/>
        </w:rPr>
        <w:t>s</w:t>
      </w:r>
      <w:r w:rsidR="00767F46" w:rsidRPr="003B08FE">
        <w:rPr>
          <w:lang w:val="en-US"/>
        </w:rPr>
        <w:t>cholarship PhD candidates</w:t>
      </w:r>
      <w:r w:rsidR="00767F46" w:rsidRPr="00FA450D">
        <w:rPr>
          <w:lang w:val="en-US"/>
        </w:rPr>
        <w:t xml:space="preserve"> </w:t>
      </w:r>
      <w:r w:rsidRPr="00FA450D">
        <w:rPr>
          <w:lang w:val="en-US"/>
        </w:rPr>
        <w:t xml:space="preserve">affiliated with the </w:t>
      </w:r>
      <w:r w:rsidR="00AD1868">
        <w:rPr>
          <w:lang w:val="en-US"/>
        </w:rPr>
        <w:t>Science</w:t>
      </w:r>
      <w:r w:rsidRPr="00FA450D">
        <w:rPr>
          <w:lang w:val="en-US"/>
        </w:rPr>
        <w:t xml:space="preserve"> </w:t>
      </w:r>
      <w:r w:rsidR="00AD1868">
        <w:rPr>
          <w:lang w:val="en-US"/>
        </w:rPr>
        <w:t>F</w:t>
      </w:r>
      <w:r w:rsidRPr="00FA450D">
        <w:rPr>
          <w:lang w:val="en-US"/>
        </w:rPr>
        <w:t xml:space="preserve">aculty are described in the </w:t>
      </w:r>
      <w:hyperlink r:id="rId6" w:history="1">
        <w:r w:rsidRPr="00FA450D">
          <w:rPr>
            <w:rStyle w:val="Hyperlink"/>
            <w:lang w:val="en-US"/>
          </w:rPr>
          <w:t>Faculty Policy Appendix</w:t>
        </w:r>
      </w:hyperlink>
      <w:r w:rsidR="00E24B9D">
        <w:rPr>
          <w:rStyle w:val="Hyperlink"/>
          <w:lang w:val="en-US"/>
        </w:rPr>
        <w:t xml:space="preserve"> (Dutch)</w:t>
      </w:r>
      <w:r w:rsidRPr="00FA450D">
        <w:rPr>
          <w:lang w:val="en-US"/>
        </w:rPr>
        <w:t xml:space="preserve">. </w:t>
      </w:r>
    </w:p>
    <w:p w14:paraId="7470471D" w14:textId="77777777" w:rsidR="00FA450D" w:rsidRPr="00FA450D" w:rsidRDefault="00FA450D" w:rsidP="00FA450D">
      <w:pPr>
        <w:spacing w:after="0"/>
        <w:rPr>
          <w:lang w:val="en-US"/>
        </w:rPr>
      </w:pPr>
      <w:r w:rsidRPr="00FA450D">
        <w:rPr>
          <w:lang w:val="en-US"/>
        </w:rPr>
        <w:t xml:space="preserve">The framework will take effect September 1, 2024. </w:t>
      </w:r>
    </w:p>
    <w:p w14:paraId="12650984" w14:textId="77777777" w:rsidR="00FA450D" w:rsidRPr="00FA450D" w:rsidRDefault="00FA450D" w:rsidP="00FA450D">
      <w:pPr>
        <w:spacing w:after="0"/>
        <w:rPr>
          <w:lang w:val="en-US"/>
        </w:rPr>
      </w:pPr>
      <w:r w:rsidRPr="00FA450D">
        <w:rPr>
          <w:lang w:val="en-US"/>
        </w:rPr>
        <w:t xml:space="preserve">In addition, we explain a number of developments within the UNL context. </w:t>
      </w:r>
    </w:p>
    <w:p w14:paraId="492AC8AC" w14:textId="77777777" w:rsidR="00FA450D" w:rsidRPr="00FA450D" w:rsidRDefault="00FA450D" w:rsidP="00FA450D">
      <w:pPr>
        <w:spacing w:after="0"/>
        <w:rPr>
          <w:lang w:val="en-US"/>
        </w:rPr>
      </w:pPr>
    </w:p>
    <w:p w14:paraId="09613F69" w14:textId="24B19C5B" w:rsidR="00FA450D" w:rsidRPr="00A0221D" w:rsidRDefault="00FA450D" w:rsidP="00FA450D">
      <w:pPr>
        <w:spacing w:after="0"/>
        <w:rPr>
          <w:b/>
          <w:bCs/>
          <w:lang w:val="en-US"/>
        </w:rPr>
      </w:pPr>
      <w:r w:rsidRPr="00A0221D">
        <w:rPr>
          <w:b/>
          <w:bCs/>
          <w:lang w:val="en-US"/>
        </w:rPr>
        <w:t xml:space="preserve">Implementation of VU policy framework </w:t>
      </w:r>
      <w:r w:rsidR="003B08FE" w:rsidRPr="00A0221D">
        <w:rPr>
          <w:b/>
          <w:bCs/>
          <w:lang w:val="en-US"/>
        </w:rPr>
        <w:t>international scholarship PhD candidates</w:t>
      </w:r>
      <w:r w:rsidRPr="00A0221D">
        <w:rPr>
          <w:b/>
          <w:bCs/>
          <w:lang w:val="en-US"/>
        </w:rPr>
        <w:t>.</w:t>
      </w:r>
    </w:p>
    <w:p w14:paraId="1C8511A1" w14:textId="69ACCE30" w:rsidR="00FA450D" w:rsidRPr="00FA450D" w:rsidRDefault="00FA450D" w:rsidP="00FA450D">
      <w:pPr>
        <w:spacing w:after="0"/>
        <w:rPr>
          <w:lang w:val="en-US"/>
        </w:rPr>
      </w:pPr>
      <w:r w:rsidRPr="00FA450D">
        <w:rPr>
          <w:lang w:val="en-US"/>
        </w:rPr>
        <w:t xml:space="preserve">The purpose of the VU framework for </w:t>
      </w:r>
      <w:r w:rsidR="003B08FE" w:rsidRPr="00FA450D">
        <w:rPr>
          <w:lang w:val="en-US"/>
        </w:rPr>
        <w:t xml:space="preserve">international </w:t>
      </w:r>
      <w:r w:rsidR="003B08FE">
        <w:rPr>
          <w:lang w:val="en-US"/>
        </w:rPr>
        <w:t>s</w:t>
      </w:r>
      <w:r w:rsidR="003B08FE" w:rsidRPr="003B08FE">
        <w:rPr>
          <w:lang w:val="en-US"/>
        </w:rPr>
        <w:t>cholarship PhD candidates</w:t>
      </w:r>
      <w:r w:rsidR="003B08FE" w:rsidRPr="00FA450D">
        <w:rPr>
          <w:lang w:val="en-US"/>
        </w:rPr>
        <w:t xml:space="preserve"> </w:t>
      </w:r>
      <w:r w:rsidRPr="00FA450D">
        <w:rPr>
          <w:lang w:val="en-US"/>
        </w:rPr>
        <w:t xml:space="preserve">is to create clarity about mutual expectations, feasibility and </w:t>
      </w:r>
      <w:r w:rsidR="00AD1868">
        <w:rPr>
          <w:lang w:val="en-US"/>
        </w:rPr>
        <w:t>contents of the PhD trajectory,</w:t>
      </w:r>
      <w:r w:rsidRPr="00FA450D">
        <w:rPr>
          <w:lang w:val="en-US"/>
        </w:rPr>
        <w:t xml:space="preserve"> even before the formal start of the </w:t>
      </w:r>
      <w:r w:rsidR="00AD1868">
        <w:rPr>
          <w:lang w:val="en-US"/>
        </w:rPr>
        <w:t>PhD trajectory</w:t>
      </w:r>
      <w:r w:rsidRPr="00FA450D">
        <w:rPr>
          <w:lang w:val="en-US"/>
        </w:rPr>
        <w:t xml:space="preserve">. It should be clear to both the intended supervisor and the </w:t>
      </w:r>
      <w:r w:rsidR="00AD1868">
        <w:rPr>
          <w:lang w:val="en-US"/>
        </w:rPr>
        <w:t xml:space="preserve">future PhD </w:t>
      </w:r>
      <w:r w:rsidRPr="00FA450D">
        <w:rPr>
          <w:lang w:val="en-US"/>
        </w:rPr>
        <w:t xml:space="preserve">candidate whether there is a basis for a successful completion of the </w:t>
      </w:r>
      <w:r w:rsidR="00AD1868">
        <w:rPr>
          <w:lang w:val="en-US"/>
        </w:rPr>
        <w:t>PhD trajectory</w:t>
      </w:r>
      <w:r w:rsidRPr="00FA450D">
        <w:rPr>
          <w:lang w:val="en-US"/>
        </w:rPr>
        <w:t xml:space="preserve">. The framework provides guidance on how to follow a procedure to obtain that clarity. An important starting point is that someone who will not be involved in the supervision will form an idea of whether there is a basis for a successful completion of the doctoral program (in short, a multi-eye principle that can be arranged at the discretion of the faculty). The framework includes a further explanation of the conditions relevant to the admission of </w:t>
      </w:r>
      <w:r w:rsidR="00767F46" w:rsidRPr="00FA450D">
        <w:rPr>
          <w:lang w:val="en-US"/>
        </w:rPr>
        <w:t xml:space="preserve">international </w:t>
      </w:r>
      <w:r w:rsidR="00767F46">
        <w:rPr>
          <w:lang w:val="en-US"/>
        </w:rPr>
        <w:t>s</w:t>
      </w:r>
      <w:r w:rsidR="00767F46" w:rsidRPr="003B08FE">
        <w:rPr>
          <w:lang w:val="en-US"/>
        </w:rPr>
        <w:t>cholarship PhD candidates</w:t>
      </w:r>
      <w:r w:rsidRPr="00FA450D">
        <w:rPr>
          <w:lang w:val="en-US"/>
        </w:rPr>
        <w:t xml:space="preserve">. </w:t>
      </w:r>
    </w:p>
    <w:p w14:paraId="38020DA1" w14:textId="77777777" w:rsidR="00FA450D" w:rsidRPr="00FA450D" w:rsidRDefault="00FA450D" w:rsidP="00FA450D">
      <w:pPr>
        <w:spacing w:after="0"/>
        <w:rPr>
          <w:lang w:val="en-US"/>
        </w:rPr>
      </w:pPr>
    </w:p>
    <w:p w14:paraId="41D19F8C" w14:textId="6597CFE3" w:rsidR="00FA450D" w:rsidRPr="00FA450D" w:rsidRDefault="00FA450D" w:rsidP="00FA450D">
      <w:pPr>
        <w:spacing w:after="0"/>
        <w:rPr>
          <w:lang w:val="en-US"/>
        </w:rPr>
      </w:pPr>
      <w:r w:rsidRPr="00FA450D">
        <w:rPr>
          <w:lang w:val="en-US"/>
        </w:rPr>
        <w:t xml:space="preserve">The VU Policy Framework for </w:t>
      </w:r>
      <w:r w:rsidR="003B08FE" w:rsidRPr="00FA450D">
        <w:rPr>
          <w:lang w:val="en-US"/>
        </w:rPr>
        <w:t xml:space="preserve">international </w:t>
      </w:r>
      <w:r w:rsidR="003B08FE">
        <w:rPr>
          <w:lang w:val="en-US"/>
        </w:rPr>
        <w:t>s</w:t>
      </w:r>
      <w:r w:rsidR="003B08FE" w:rsidRPr="003B08FE">
        <w:rPr>
          <w:lang w:val="en-US"/>
        </w:rPr>
        <w:t>cholarship PhD candidates</w:t>
      </w:r>
      <w:r w:rsidR="003B08FE" w:rsidRPr="00FA450D">
        <w:rPr>
          <w:lang w:val="en-US"/>
        </w:rPr>
        <w:t xml:space="preserve"> </w:t>
      </w:r>
      <w:r w:rsidRPr="00FA450D">
        <w:rPr>
          <w:lang w:val="en-US"/>
        </w:rPr>
        <w:t xml:space="preserve">will take effect September 1, 2024. The following will then apply to </w:t>
      </w:r>
      <w:r w:rsidR="00767F46" w:rsidRPr="00FA450D">
        <w:rPr>
          <w:lang w:val="en-US"/>
        </w:rPr>
        <w:t xml:space="preserve">international </w:t>
      </w:r>
      <w:r w:rsidR="00767F46">
        <w:rPr>
          <w:lang w:val="en-US"/>
        </w:rPr>
        <w:t>s</w:t>
      </w:r>
      <w:r w:rsidR="00767F46" w:rsidRPr="003B08FE">
        <w:rPr>
          <w:lang w:val="en-US"/>
        </w:rPr>
        <w:t>cholarship PhD candidates</w:t>
      </w:r>
      <w:r w:rsidR="00767F46" w:rsidRPr="00FA450D">
        <w:rPr>
          <w:lang w:val="en-US"/>
        </w:rPr>
        <w:t xml:space="preserve"> </w:t>
      </w:r>
      <w:r w:rsidRPr="00FA450D">
        <w:rPr>
          <w:lang w:val="en-US"/>
        </w:rPr>
        <w:t>admitted from then on:</w:t>
      </w:r>
    </w:p>
    <w:p w14:paraId="21E29155" w14:textId="55AF799F" w:rsidR="00FA450D" w:rsidRPr="00FA450D" w:rsidRDefault="00FA450D" w:rsidP="00FA450D">
      <w:pPr>
        <w:spacing w:after="0"/>
        <w:rPr>
          <w:lang w:val="en-US"/>
        </w:rPr>
      </w:pPr>
      <w:r w:rsidRPr="00FA450D">
        <w:rPr>
          <w:lang w:val="en-US"/>
        </w:rPr>
        <w:t xml:space="preserve">1. It must be clear that the quality of an initial research proposal is up to standard, that English proficiency has been verified, that the Knowledge Security Framework has been followed, and that there is a budget plan for the entire duration of the PhD </w:t>
      </w:r>
      <w:r w:rsidR="00AD1868">
        <w:rPr>
          <w:lang w:val="en-US"/>
        </w:rPr>
        <w:t>trajectory</w:t>
      </w:r>
      <w:r w:rsidRPr="00FA450D">
        <w:rPr>
          <w:lang w:val="en-US"/>
        </w:rPr>
        <w:t xml:space="preserve">. For an explanation, see the procedure description as included in the VU Policy Framework for </w:t>
      </w:r>
      <w:r w:rsidR="003B08FE" w:rsidRPr="00FA450D">
        <w:rPr>
          <w:lang w:val="en-US"/>
        </w:rPr>
        <w:t xml:space="preserve">international </w:t>
      </w:r>
      <w:r w:rsidR="003B08FE">
        <w:rPr>
          <w:lang w:val="en-US"/>
        </w:rPr>
        <w:t>s</w:t>
      </w:r>
      <w:r w:rsidR="003B08FE" w:rsidRPr="003B08FE">
        <w:rPr>
          <w:lang w:val="en-US"/>
        </w:rPr>
        <w:t>cholarship PhD candidates</w:t>
      </w:r>
      <w:r w:rsidRPr="00FA450D">
        <w:rPr>
          <w:lang w:val="en-US"/>
        </w:rPr>
        <w:t xml:space="preserve"> (</w:t>
      </w:r>
      <w:hyperlink r:id="rId7" w:history="1">
        <w:r w:rsidRPr="00FA450D">
          <w:rPr>
            <w:rStyle w:val="Hyperlink"/>
            <w:lang w:val="en-US"/>
          </w:rPr>
          <w:t>Appendix 1</w:t>
        </w:r>
      </w:hyperlink>
      <w:r w:rsidR="00E24B9D">
        <w:rPr>
          <w:rStyle w:val="Hyperlink"/>
          <w:lang w:val="en-US"/>
        </w:rPr>
        <w:t xml:space="preserve"> (Dutch</w:t>
      </w:r>
      <w:r w:rsidRPr="00FA450D">
        <w:rPr>
          <w:lang w:val="en-US"/>
        </w:rPr>
        <w:t>)</w:t>
      </w:r>
      <w:r w:rsidR="00E24B9D">
        <w:rPr>
          <w:lang w:val="en-US"/>
        </w:rPr>
        <w:t xml:space="preserve"> (</w:t>
      </w:r>
      <w:hyperlink r:id="rId8" w:history="1">
        <w:r w:rsidR="00E24B9D" w:rsidRPr="006F5E0E">
          <w:rPr>
            <w:rStyle w:val="Hyperlink"/>
            <w:lang w:val="en-US"/>
          </w:rPr>
          <w:t>Appendix 1 (English)</w:t>
        </w:r>
      </w:hyperlink>
      <w:r w:rsidR="00E24B9D">
        <w:rPr>
          <w:lang w:val="en-US"/>
        </w:rPr>
        <w:t>)</w:t>
      </w:r>
      <w:r w:rsidRPr="00FA450D">
        <w:rPr>
          <w:lang w:val="en-US"/>
        </w:rPr>
        <w:t xml:space="preserve">.  </w:t>
      </w:r>
    </w:p>
    <w:p w14:paraId="2C14B455" w14:textId="697B0AD8" w:rsidR="00FA450D" w:rsidRPr="00E44BCF" w:rsidRDefault="00FA450D" w:rsidP="00FA450D">
      <w:pPr>
        <w:spacing w:after="0"/>
        <w:rPr>
          <w:lang w:val="en-US"/>
        </w:rPr>
      </w:pPr>
      <w:r w:rsidRPr="00FA450D">
        <w:rPr>
          <w:lang w:val="en-US"/>
        </w:rPr>
        <w:t xml:space="preserve">2. The minimum amount for the scholarship is the IND standard. If the scholarship is not sufficient, </w:t>
      </w:r>
      <w:r w:rsidR="00AD1868">
        <w:rPr>
          <w:lang w:val="en-US"/>
        </w:rPr>
        <w:t xml:space="preserve">the </w:t>
      </w:r>
      <w:r w:rsidRPr="00FA450D">
        <w:rPr>
          <w:lang w:val="en-US"/>
        </w:rPr>
        <w:t xml:space="preserve">faculty will provide a top-up. An explanation for providing that top up is in </w:t>
      </w:r>
      <w:hyperlink r:id="rId9" w:history="1">
        <w:r w:rsidRPr="00FA450D">
          <w:rPr>
            <w:rStyle w:val="Hyperlink"/>
            <w:lang w:val="en-US"/>
          </w:rPr>
          <w:t>Appendix 2</w:t>
        </w:r>
      </w:hyperlink>
      <w:r w:rsidR="00E24B9D">
        <w:rPr>
          <w:rStyle w:val="Hyperlink"/>
          <w:lang w:val="en-US"/>
        </w:rPr>
        <w:t xml:space="preserve"> (Dutch)</w:t>
      </w:r>
      <w:r w:rsidR="00E24B9D">
        <w:rPr>
          <w:lang w:val="en-US"/>
        </w:rPr>
        <w:t xml:space="preserve"> </w:t>
      </w:r>
      <w:hyperlink r:id="rId10" w:history="1">
        <w:r w:rsidR="00E24B9D" w:rsidRPr="006F5E0E">
          <w:rPr>
            <w:rStyle w:val="Hyperlink"/>
            <w:lang w:val="en-US"/>
          </w:rPr>
          <w:t>Appendix 2 (English)</w:t>
        </w:r>
      </w:hyperlink>
      <w:r w:rsidR="00E24B9D">
        <w:rPr>
          <w:lang w:val="en-US"/>
        </w:rPr>
        <w:t>;</w:t>
      </w:r>
      <w:r w:rsidRPr="00FA450D">
        <w:rPr>
          <w:lang w:val="en-US"/>
        </w:rPr>
        <w:t xml:space="preserve"> a format for </w:t>
      </w:r>
      <w:r w:rsidR="00AD1868">
        <w:rPr>
          <w:lang w:val="en-US"/>
        </w:rPr>
        <w:t>the set-up of</w:t>
      </w:r>
      <w:r w:rsidRPr="00FA450D">
        <w:rPr>
          <w:lang w:val="en-US"/>
        </w:rPr>
        <w:t xml:space="preserve"> agreements </w:t>
      </w:r>
      <w:r w:rsidR="00AD1868">
        <w:rPr>
          <w:lang w:val="en-US"/>
        </w:rPr>
        <w:t>concerning</w:t>
      </w:r>
      <w:r w:rsidRPr="00FA450D">
        <w:rPr>
          <w:lang w:val="en-US"/>
        </w:rPr>
        <w:t xml:space="preserve"> the top up is in </w:t>
      </w:r>
      <w:hyperlink r:id="rId11" w:history="1">
        <w:r w:rsidRPr="00FA450D">
          <w:rPr>
            <w:rStyle w:val="Hyperlink"/>
            <w:lang w:val="en-US"/>
          </w:rPr>
          <w:t>Appendix 3</w:t>
        </w:r>
      </w:hyperlink>
      <w:r w:rsidRPr="00FA450D">
        <w:rPr>
          <w:lang w:val="en-US"/>
        </w:rPr>
        <w:t xml:space="preserve">. For top up, </w:t>
      </w:r>
      <w:r w:rsidR="007853EB">
        <w:rPr>
          <w:lang w:val="en-US"/>
        </w:rPr>
        <w:t xml:space="preserve">we </w:t>
      </w:r>
      <w:r w:rsidRPr="00FA450D">
        <w:rPr>
          <w:lang w:val="en-US"/>
        </w:rPr>
        <w:t xml:space="preserve">refer to the </w:t>
      </w:r>
      <w:hyperlink r:id="rId12" w:history="1">
        <w:r w:rsidRPr="00FA450D">
          <w:rPr>
            <w:rStyle w:val="Hyperlink"/>
            <w:lang w:val="en-US"/>
          </w:rPr>
          <w:t>additional faculty policy</w:t>
        </w:r>
      </w:hyperlink>
      <w:r w:rsidR="00E24B9D">
        <w:rPr>
          <w:rStyle w:val="Hyperlink"/>
          <w:lang w:val="en-US"/>
        </w:rPr>
        <w:t xml:space="preserve"> (Dutch)</w:t>
      </w:r>
      <w:r w:rsidR="00E44BCF" w:rsidRPr="00E44BCF">
        <w:rPr>
          <w:rStyle w:val="Hyperlink"/>
          <w:color w:val="auto"/>
          <w:u w:val="none"/>
          <w:lang w:val="en-US"/>
        </w:rPr>
        <w:t>, see also below.</w:t>
      </w:r>
    </w:p>
    <w:p w14:paraId="3156EB22" w14:textId="35A396B8" w:rsidR="00FA450D" w:rsidRPr="00FA450D" w:rsidRDefault="00FA450D" w:rsidP="00FA450D">
      <w:pPr>
        <w:spacing w:after="0"/>
        <w:rPr>
          <w:lang w:val="en-US"/>
        </w:rPr>
      </w:pPr>
      <w:r w:rsidRPr="00FA450D">
        <w:rPr>
          <w:lang w:val="en-US"/>
        </w:rPr>
        <w:t>3. Access to necessary research facilities and embedding in the VU community is ensured.</w:t>
      </w:r>
    </w:p>
    <w:p w14:paraId="6E87516A" w14:textId="77777777" w:rsidR="00FA450D" w:rsidRPr="00FA450D" w:rsidRDefault="00FA450D" w:rsidP="00FA450D">
      <w:pPr>
        <w:spacing w:after="0"/>
        <w:rPr>
          <w:lang w:val="en-US"/>
        </w:rPr>
      </w:pPr>
    </w:p>
    <w:p w14:paraId="584B3615" w14:textId="77777777" w:rsidR="00FA450D" w:rsidRPr="00FA450D" w:rsidRDefault="00FA450D" w:rsidP="00FA450D">
      <w:pPr>
        <w:spacing w:after="0"/>
        <w:rPr>
          <w:lang w:val="en-US"/>
        </w:rPr>
      </w:pPr>
      <w:r w:rsidRPr="00FA450D">
        <w:rPr>
          <w:lang w:val="en-US"/>
        </w:rPr>
        <w:t xml:space="preserve">Implementation of the policy framework will be evaluated in spring 2025. </w:t>
      </w:r>
    </w:p>
    <w:p w14:paraId="5866B718" w14:textId="77777777" w:rsidR="00FA450D" w:rsidRPr="00FA450D" w:rsidRDefault="00FA450D" w:rsidP="00FA450D">
      <w:pPr>
        <w:spacing w:after="0"/>
        <w:rPr>
          <w:lang w:val="en-US"/>
        </w:rPr>
      </w:pPr>
    </w:p>
    <w:p w14:paraId="778AEA08" w14:textId="77777777" w:rsidR="00FA450D" w:rsidRPr="00FA450D" w:rsidRDefault="00FA450D" w:rsidP="00FA450D">
      <w:pPr>
        <w:spacing w:after="0"/>
        <w:rPr>
          <w:b/>
          <w:bCs/>
          <w:lang w:val="en-US"/>
        </w:rPr>
      </w:pPr>
      <w:r w:rsidRPr="00FA450D">
        <w:rPr>
          <w:b/>
          <w:bCs/>
          <w:lang w:val="en-US"/>
        </w:rPr>
        <w:t>Faculty policy</w:t>
      </w:r>
    </w:p>
    <w:p w14:paraId="27413EB4" w14:textId="1AE4028C" w:rsidR="00FA450D" w:rsidRPr="00FA450D" w:rsidRDefault="00FA450D" w:rsidP="00FA450D">
      <w:pPr>
        <w:spacing w:after="0"/>
        <w:rPr>
          <w:lang w:val="en-US"/>
        </w:rPr>
      </w:pPr>
      <w:r w:rsidRPr="00FA450D">
        <w:rPr>
          <w:lang w:val="en-US"/>
        </w:rPr>
        <w:t xml:space="preserve">Previously, a guideline for the </w:t>
      </w:r>
      <w:r w:rsidR="003B08FE" w:rsidRPr="00FA450D">
        <w:rPr>
          <w:lang w:val="en-US"/>
        </w:rPr>
        <w:t xml:space="preserve">international </w:t>
      </w:r>
      <w:r w:rsidR="003B08FE">
        <w:rPr>
          <w:lang w:val="en-US"/>
        </w:rPr>
        <w:t>s</w:t>
      </w:r>
      <w:r w:rsidR="003B08FE" w:rsidRPr="003B08FE">
        <w:rPr>
          <w:lang w:val="en-US"/>
        </w:rPr>
        <w:t>cholarship PhD candidates</w:t>
      </w:r>
      <w:r w:rsidR="003B08FE" w:rsidRPr="00FA450D">
        <w:rPr>
          <w:lang w:val="en-US"/>
        </w:rPr>
        <w:t xml:space="preserve"> </w:t>
      </w:r>
      <w:r w:rsidRPr="00FA450D">
        <w:rPr>
          <w:lang w:val="en-US"/>
        </w:rPr>
        <w:t xml:space="preserve">policy was established in the </w:t>
      </w:r>
      <w:r w:rsidR="007853EB">
        <w:rPr>
          <w:lang w:val="en-US"/>
        </w:rPr>
        <w:t>Science F</w:t>
      </w:r>
      <w:r w:rsidRPr="00FA450D">
        <w:rPr>
          <w:lang w:val="en-US"/>
        </w:rPr>
        <w:t>aculty.</w:t>
      </w:r>
    </w:p>
    <w:p w14:paraId="0D0F345E" w14:textId="3CFB3458" w:rsidR="00FA450D" w:rsidRPr="006F5E0E" w:rsidRDefault="00FA450D" w:rsidP="00FA450D">
      <w:pPr>
        <w:spacing w:after="0"/>
        <w:rPr>
          <w:lang w:val="en-US"/>
        </w:rPr>
      </w:pPr>
      <w:r w:rsidRPr="00FA450D">
        <w:rPr>
          <w:lang w:val="en-US"/>
        </w:rPr>
        <w:lastRenderedPageBreak/>
        <w:t xml:space="preserve">As of September 1, 2024, the new VU guideline will be leading and </w:t>
      </w:r>
      <w:r w:rsidR="00E62436">
        <w:rPr>
          <w:lang w:val="en-US"/>
        </w:rPr>
        <w:t xml:space="preserve">replace </w:t>
      </w:r>
      <w:r w:rsidRPr="00FA450D">
        <w:rPr>
          <w:lang w:val="en-US"/>
        </w:rPr>
        <w:t xml:space="preserve">the </w:t>
      </w:r>
      <w:r w:rsidR="007853EB">
        <w:rPr>
          <w:lang w:val="en-US"/>
        </w:rPr>
        <w:t>previous guideline of the Science Faculty</w:t>
      </w:r>
      <w:r w:rsidRPr="00FA450D">
        <w:rPr>
          <w:lang w:val="en-US"/>
        </w:rPr>
        <w:t xml:space="preserve">. </w:t>
      </w:r>
      <w:r w:rsidR="00E62436">
        <w:rPr>
          <w:lang w:val="en-US"/>
        </w:rPr>
        <w:t>Yet</w:t>
      </w:r>
      <w:r w:rsidRPr="00FA450D">
        <w:rPr>
          <w:lang w:val="en-US"/>
        </w:rPr>
        <w:t xml:space="preserve">, some specific issues for </w:t>
      </w:r>
      <w:r w:rsidR="007853EB">
        <w:rPr>
          <w:lang w:val="en-US"/>
        </w:rPr>
        <w:t>the Science Faculty</w:t>
      </w:r>
      <w:r w:rsidRPr="00FA450D">
        <w:rPr>
          <w:lang w:val="en-US"/>
        </w:rPr>
        <w:t xml:space="preserve"> are </w:t>
      </w:r>
      <w:r w:rsidR="00E62436">
        <w:rPr>
          <w:lang w:val="en-US"/>
        </w:rPr>
        <w:t>leading</w:t>
      </w:r>
      <w:r w:rsidRPr="00FA450D">
        <w:rPr>
          <w:lang w:val="en-US"/>
        </w:rPr>
        <w:t xml:space="preserve">. </w:t>
      </w:r>
      <w:r w:rsidRPr="006F5E0E">
        <w:rPr>
          <w:lang w:val="en-US"/>
        </w:rPr>
        <w:t xml:space="preserve">These are </w:t>
      </w:r>
      <w:r w:rsidR="009E071A" w:rsidRPr="006F5E0E">
        <w:rPr>
          <w:lang w:val="en-US"/>
        </w:rPr>
        <w:t>indicated</w:t>
      </w:r>
      <w:r w:rsidRPr="006F5E0E">
        <w:rPr>
          <w:lang w:val="en-US"/>
        </w:rPr>
        <w:t xml:space="preserve"> in document </w:t>
      </w:r>
      <w:hyperlink r:id="rId13" w:history="1">
        <w:proofErr w:type="spellStart"/>
        <w:r w:rsidR="00FC3366" w:rsidRPr="006F5E0E">
          <w:rPr>
            <w:rStyle w:val="Hyperlink"/>
            <w:lang w:val="en-US"/>
          </w:rPr>
          <w:t>Internationale</w:t>
        </w:r>
        <w:proofErr w:type="spellEnd"/>
        <w:r w:rsidR="00FC3366" w:rsidRPr="006F5E0E">
          <w:rPr>
            <w:rStyle w:val="Hyperlink"/>
            <w:lang w:val="en-US"/>
          </w:rPr>
          <w:t xml:space="preserve"> </w:t>
        </w:r>
        <w:proofErr w:type="spellStart"/>
        <w:r w:rsidR="00FC3366" w:rsidRPr="006F5E0E">
          <w:rPr>
            <w:rStyle w:val="Hyperlink"/>
            <w:lang w:val="en-US"/>
          </w:rPr>
          <w:t>Beurspromovendi</w:t>
        </w:r>
        <w:proofErr w:type="spellEnd"/>
        <w:r w:rsidR="00FC3366" w:rsidRPr="006F5E0E">
          <w:rPr>
            <w:rStyle w:val="Hyperlink"/>
            <w:lang w:val="en-US"/>
          </w:rPr>
          <w:t xml:space="preserve"> - </w:t>
        </w:r>
        <w:proofErr w:type="spellStart"/>
        <w:r w:rsidR="00FC3366" w:rsidRPr="006F5E0E">
          <w:rPr>
            <w:rStyle w:val="Hyperlink"/>
            <w:lang w:val="en-US"/>
          </w:rPr>
          <w:t>Facultair</w:t>
        </w:r>
        <w:proofErr w:type="spellEnd"/>
        <w:r w:rsidR="00FC3366" w:rsidRPr="006F5E0E">
          <w:rPr>
            <w:rStyle w:val="Hyperlink"/>
            <w:lang w:val="en-US"/>
          </w:rPr>
          <w:t xml:space="preserve"> </w:t>
        </w:r>
        <w:proofErr w:type="spellStart"/>
        <w:r w:rsidR="00FC3366" w:rsidRPr="006F5E0E">
          <w:rPr>
            <w:rStyle w:val="Hyperlink"/>
            <w:lang w:val="en-US"/>
          </w:rPr>
          <w:t>beleid</w:t>
        </w:r>
        <w:proofErr w:type="spellEnd"/>
        <w:r w:rsidR="00FC3366" w:rsidRPr="006F5E0E">
          <w:rPr>
            <w:rStyle w:val="Hyperlink"/>
            <w:lang w:val="en-US"/>
          </w:rPr>
          <w:t xml:space="preserve"> 240822</w:t>
        </w:r>
      </w:hyperlink>
      <w:r w:rsidR="00E24B9D" w:rsidRPr="006F5E0E">
        <w:rPr>
          <w:lang w:val="en-US"/>
        </w:rPr>
        <w:t xml:space="preserve"> (</w:t>
      </w:r>
      <w:r w:rsidR="00FC3366" w:rsidRPr="006F5E0E">
        <w:rPr>
          <w:lang w:val="en-US"/>
        </w:rPr>
        <w:t>Dutch</w:t>
      </w:r>
      <w:r w:rsidR="00E24B9D" w:rsidRPr="006F5E0E">
        <w:rPr>
          <w:lang w:val="en-US"/>
        </w:rPr>
        <w:t>)</w:t>
      </w:r>
      <w:r w:rsidR="00FC3366" w:rsidRPr="006F5E0E">
        <w:rPr>
          <w:lang w:val="en-US"/>
        </w:rPr>
        <w:t>.</w:t>
      </w:r>
    </w:p>
    <w:p w14:paraId="73EA4C1E" w14:textId="77777777" w:rsidR="00E24B9D" w:rsidRPr="006F5E0E" w:rsidRDefault="00E24B9D" w:rsidP="00FA450D">
      <w:pPr>
        <w:spacing w:after="0"/>
        <w:rPr>
          <w:lang w:val="en-US"/>
        </w:rPr>
      </w:pPr>
    </w:p>
    <w:p w14:paraId="4CF7C848" w14:textId="5BACE5CB" w:rsidR="00FC3366" w:rsidRDefault="00FC3366" w:rsidP="00FA450D">
      <w:pPr>
        <w:spacing w:after="0"/>
        <w:rPr>
          <w:lang w:val="en-US"/>
        </w:rPr>
      </w:pPr>
      <w:r w:rsidRPr="00FC3366">
        <w:rPr>
          <w:lang w:val="en-US"/>
        </w:rPr>
        <w:t>An English tra</w:t>
      </w:r>
      <w:r>
        <w:rPr>
          <w:lang w:val="en-US"/>
        </w:rPr>
        <w:t>ns</w:t>
      </w:r>
      <w:r w:rsidRPr="00FC3366">
        <w:rPr>
          <w:lang w:val="en-US"/>
        </w:rPr>
        <w:t xml:space="preserve">lation is </w:t>
      </w:r>
      <w:r>
        <w:rPr>
          <w:lang w:val="en-US"/>
        </w:rPr>
        <w:t>here:</w:t>
      </w:r>
    </w:p>
    <w:p w14:paraId="3C78D589" w14:textId="77777777" w:rsidR="00FC3366" w:rsidRPr="00FC3366" w:rsidRDefault="00FC3366" w:rsidP="00FC3366">
      <w:pPr>
        <w:spacing w:after="0"/>
        <w:rPr>
          <w:i/>
          <w:iCs/>
          <w:lang w:val="en-US"/>
        </w:rPr>
      </w:pPr>
      <w:r w:rsidRPr="00FC3366">
        <w:rPr>
          <w:i/>
          <w:iCs/>
          <w:lang w:val="en-US"/>
        </w:rPr>
        <w:t>Financial situation during the PhD track</w:t>
      </w:r>
    </w:p>
    <w:p w14:paraId="02A4C024" w14:textId="34137AA7" w:rsidR="00FC3366" w:rsidRPr="00FC3366" w:rsidRDefault="00FC3366" w:rsidP="00FC3366">
      <w:pPr>
        <w:spacing w:after="0"/>
        <w:rPr>
          <w:lang w:val="en-US"/>
        </w:rPr>
      </w:pPr>
      <w:r w:rsidRPr="00FC3366">
        <w:rPr>
          <w:lang w:val="en-US"/>
        </w:rPr>
        <w:t xml:space="preserve">Since a top-up would have to be paid from the </w:t>
      </w:r>
      <w:r>
        <w:rPr>
          <w:lang w:val="en-US"/>
        </w:rPr>
        <w:t>direct funding</w:t>
      </w:r>
      <w:r w:rsidRPr="00FC3366">
        <w:rPr>
          <w:lang w:val="en-US"/>
        </w:rPr>
        <w:t xml:space="preserve">, and </w:t>
      </w:r>
      <w:r>
        <w:rPr>
          <w:lang w:val="en-US"/>
        </w:rPr>
        <w:t>since the Science Faculty</w:t>
      </w:r>
      <w:r w:rsidRPr="00FC3366">
        <w:rPr>
          <w:lang w:val="en-US"/>
        </w:rPr>
        <w:t xml:space="preserve"> - due to budget cuts - does not want to </w:t>
      </w:r>
      <w:r>
        <w:rPr>
          <w:lang w:val="en-US"/>
        </w:rPr>
        <w:t>finance</w:t>
      </w:r>
      <w:r w:rsidRPr="00FC3366">
        <w:rPr>
          <w:lang w:val="en-US"/>
        </w:rPr>
        <w:t xml:space="preserve"> appointments (other than those approved by the FB), this also applies to the top-up arrangement. This means that </w:t>
      </w:r>
      <w:r>
        <w:rPr>
          <w:lang w:val="en-US"/>
        </w:rPr>
        <w:t>the Science Faculty</w:t>
      </w:r>
      <w:r w:rsidRPr="00FC3366">
        <w:rPr>
          <w:lang w:val="en-US"/>
        </w:rPr>
        <w:t xml:space="preserve"> </w:t>
      </w:r>
      <w:r w:rsidR="002B21A6">
        <w:rPr>
          <w:lang w:val="en-US"/>
        </w:rPr>
        <w:t xml:space="preserve">has </w:t>
      </w:r>
      <w:r w:rsidRPr="00FC3366">
        <w:rPr>
          <w:lang w:val="en-US"/>
        </w:rPr>
        <w:t>decide</w:t>
      </w:r>
      <w:r w:rsidR="002B21A6">
        <w:rPr>
          <w:lang w:val="en-US"/>
        </w:rPr>
        <w:t>d</w:t>
      </w:r>
      <w:r w:rsidRPr="00FC3366">
        <w:rPr>
          <w:lang w:val="en-US"/>
        </w:rPr>
        <w:t xml:space="preserve"> not to </w:t>
      </w:r>
      <w:r>
        <w:rPr>
          <w:lang w:val="en-US"/>
        </w:rPr>
        <w:t>grant</w:t>
      </w:r>
      <w:r w:rsidRPr="00FC3366">
        <w:rPr>
          <w:lang w:val="en-US"/>
        </w:rPr>
        <w:t xml:space="preserve"> a top-up arrangement for </w:t>
      </w:r>
      <w:r>
        <w:rPr>
          <w:lang w:val="en-US"/>
        </w:rPr>
        <w:t xml:space="preserve">international </w:t>
      </w:r>
      <w:r w:rsidRPr="00FC3366">
        <w:rPr>
          <w:lang w:val="en-US"/>
        </w:rPr>
        <w:t>scholarship PhD</w:t>
      </w:r>
      <w:r>
        <w:rPr>
          <w:lang w:val="en-US"/>
        </w:rPr>
        <w:t xml:space="preserve"> candidates </w:t>
      </w:r>
      <w:r w:rsidRPr="00FC3366">
        <w:rPr>
          <w:lang w:val="en-US"/>
        </w:rPr>
        <w:t xml:space="preserve">with a </w:t>
      </w:r>
      <w:r>
        <w:rPr>
          <w:lang w:val="en-US"/>
        </w:rPr>
        <w:t>scholarship</w:t>
      </w:r>
      <w:r w:rsidRPr="00FC3366">
        <w:rPr>
          <w:lang w:val="en-US"/>
        </w:rPr>
        <w:t xml:space="preserve"> below the IND norm. </w:t>
      </w:r>
    </w:p>
    <w:p w14:paraId="056BD09E" w14:textId="77777777" w:rsidR="00FC3366" w:rsidRPr="00FC3366" w:rsidRDefault="00FC3366" w:rsidP="00FC3366">
      <w:pPr>
        <w:spacing w:after="0"/>
        <w:rPr>
          <w:lang w:val="en-US"/>
        </w:rPr>
      </w:pPr>
      <w:r w:rsidRPr="00FC3366">
        <w:rPr>
          <w:lang w:val="en-US"/>
        </w:rPr>
        <w:t>There are a few exceptions for current projects:</w:t>
      </w:r>
    </w:p>
    <w:p w14:paraId="142EDEF9" w14:textId="6A551702" w:rsidR="00FC3366" w:rsidRPr="00FC3366" w:rsidRDefault="00FC3366" w:rsidP="00FC3366">
      <w:pPr>
        <w:spacing w:after="0"/>
        <w:rPr>
          <w:lang w:val="en-US"/>
        </w:rPr>
      </w:pPr>
      <w:r w:rsidRPr="00FC3366">
        <w:rPr>
          <w:lang w:val="en-US"/>
        </w:rPr>
        <w:t xml:space="preserve">- Scholarship PhD </w:t>
      </w:r>
      <w:r>
        <w:rPr>
          <w:lang w:val="en-US"/>
        </w:rPr>
        <w:t>candidates</w:t>
      </w:r>
      <w:r w:rsidRPr="00FC3366">
        <w:rPr>
          <w:lang w:val="en-US"/>
        </w:rPr>
        <w:t xml:space="preserve"> with a start date before March 1, 2023 and for whom the scholarship is insufficient</w:t>
      </w:r>
      <w:r w:rsidR="002B21A6">
        <w:rPr>
          <w:lang w:val="en-US"/>
        </w:rPr>
        <w:t>,</w:t>
      </w:r>
      <w:r w:rsidRPr="00FC3366">
        <w:rPr>
          <w:lang w:val="en-US"/>
        </w:rPr>
        <w:t xml:space="preserve"> may receive a top-up for the remainder of their trajectory. This is due to any ongoing agreements and/or to the fact that the IND norm has recently been indexed quite high. </w:t>
      </w:r>
    </w:p>
    <w:p w14:paraId="652CA8F3" w14:textId="520147AB" w:rsidR="00FC3366" w:rsidRPr="00FC3366" w:rsidRDefault="00FC3366" w:rsidP="00FC3366">
      <w:pPr>
        <w:spacing w:after="0"/>
        <w:rPr>
          <w:lang w:val="en-US"/>
        </w:rPr>
      </w:pPr>
      <w:r w:rsidRPr="00FC3366">
        <w:rPr>
          <w:lang w:val="en-US"/>
        </w:rPr>
        <w:t xml:space="preserve">- PhD </w:t>
      </w:r>
      <w:r w:rsidR="002B21A6">
        <w:rPr>
          <w:lang w:val="en-US"/>
        </w:rPr>
        <w:t>candidates</w:t>
      </w:r>
      <w:r w:rsidRPr="00FC3366">
        <w:rPr>
          <w:lang w:val="en-US"/>
        </w:rPr>
        <w:t xml:space="preserve"> with a start date after May 1, 2023 and for whom the grant is insufficient, may not receive a top-up from the </w:t>
      </w:r>
      <w:r w:rsidR="002B21A6">
        <w:rPr>
          <w:lang w:val="en-US"/>
        </w:rPr>
        <w:t>direct funding</w:t>
      </w:r>
      <w:r w:rsidRPr="00FC3366">
        <w:rPr>
          <w:lang w:val="en-US"/>
        </w:rPr>
        <w:t xml:space="preserve"> for the remainder of their track. This is due to the fact that from then on, the rule applies that no </w:t>
      </w:r>
      <w:r w:rsidR="002B21A6">
        <w:rPr>
          <w:lang w:val="en-US"/>
        </w:rPr>
        <w:t>direct funding</w:t>
      </w:r>
      <w:r w:rsidRPr="00FC3366">
        <w:rPr>
          <w:lang w:val="en-US"/>
        </w:rPr>
        <w:t xml:space="preserve"> will be used for appointments. However, a top-up is available for this group of PhD</w:t>
      </w:r>
      <w:r w:rsidR="002B21A6">
        <w:rPr>
          <w:lang w:val="en-US"/>
        </w:rPr>
        <w:t xml:space="preserve"> candidates</w:t>
      </w:r>
      <w:r w:rsidRPr="00FC3366">
        <w:rPr>
          <w:lang w:val="en-US"/>
        </w:rPr>
        <w:t xml:space="preserve"> if they can be funded from an (ongoing) research project.</w:t>
      </w:r>
    </w:p>
    <w:p w14:paraId="7D5A4D33" w14:textId="005C698C" w:rsidR="00FC3366" w:rsidRDefault="002B21A6" w:rsidP="00FC3366">
      <w:pPr>
        <w:spacing w:after="0"/>
        <w:rPr>
          <w:lang w:val="en-US"/>
        </w:rPr>
      </w:pPr>
      <w:r>
        <w:rPr>
          <w:lang w:val="en-US"/>
        </w:rPr>
        <w:t>-</w:t>
      </w:r>
      <w:r w:rsidR="00FC3366" w:rsidRPr="00FC3366">
        <w:rPr>
          <w:lang w:val="en-US"/>
        </w:rPr>
        <w:t xml:space="preserve">Furthermore, it has been decided by the faculty not to admit CSC fellowship PhD </w:t>
      </w:r>
      <w:r>
        <w:rPr>
          <w:lang w:val="en-US"/>
        </w:rPr>
        <w:t>candidates</w:t>
      </w:r>
      <w:r w:rsidR="00FC3366" w:rsidRPr="00FC3366">
        <w:rPr>
          <w:lang w:val="en-US"/>
        </w:rPr>
        <w:t xml:space="preserve"> from September 1, 2023.</w:t>
      </w:r>
    </w:p>
    <w:p w14:paraId="04B6FFD6" w14:textId="77777777" w:rsidR="002B21A6" w:rsidRDefault="002B21A6" w:rsidP="00FC3366">
      <w:pPr>
        <w:spacing w:after="0"/>
        <w:rPr>
          <w:lang w:val="en-US"/>
        </w:rPr>
      </w:pPr>
    </w:p>
    <w:p w14:paraId="0FC88B6D" w14:textId="77777777" w:rsidR="002B21A6" w:rsidRPr="002B21A6" w:rsidRDefault="002B21A6" w:rsidP="002B21A6">
      <w:pPr>
        <w:spacing w:after="0"/>
        <w:rPr>
          <w:lang w:val="en-US"/>
        </w:rPr>
      </w:pPr>
      <w:r w:rsidRPr="002B21A6">
        <w:rPr>
          <w:i/>
          <w:iCs/>
          <w:lang w:val="en-US"/>
        </w:rPr>
        <w:t>Procedure - step 3: Testing for prerequisites for admission</w:t>
      </w:r>
      <w:r w:rsidRPr="002B21A6">
        <w:rPr>
          <w:lang w:val="en-US"/>
        </w:rPr>
        <w:t xml:space="preserve">. </w:t>
      </w:r>
    </w:p>
    <w:p w14:paraId="1B997C2A" w14:textId="4E51BD84" w:rsidR="002B21A6" w:rsidRPr="002B21A6" w:rsidRDefault="002B21A6" w:rsidP="002B21A6">
      <w:pPr>
        <w:spacing w:after="0"/>
        <w:rPr>
          <w:lang w:val="en-US"/>
        </w:rPr>
      </w:pPr>
      <w:r w:rsidRPr="002B21A6">
        <w:rPr>
          <w:lang w:val="en-US"/>
        </w:rPr>
        <w:t>The graduate schools (</w:t>
      </w:r>
      <w:proofErr w:type="spellStart"/>
      <w:r w:rsidRPr="002B21A6">
        <w:rPr>
          <w:lang w:val="en-US"/>
        </w:rPr>
        <w:t>cq</w:t>
      </w:r>
      <w:proofErr w:type="spellEnd"/>
      <w:r w:rsidRPr="002B21A6">
        <w:rPr>
          <w:lang w:val="en-US"/>
        </w:rPr>
        <w:t xml:space="preserve">. </w:t>
      </w:r>
      <w:r>
        <w:rPr>
          <w:lang w:val="en-US"/>
        </w:rPr>
        <w:t>d</w:t>
      </w:r>
      <w:r w:rsidRPr="002B21A6">
        <w:rPr>
          <w:lang w:val="en-US"/>
        </w:rPr>
        <w:t>epartments) can decide which independent party will test the quality of the research proposal and language skills.</w:t>
      </w:r>
    </w:p>
    <w:p w14:paraId="6A3D0722" w14:textId="77777777" w:rsidR="002B21A6" w:rsidRPr="002B21A6" w:rsidRDefault="002B21A6" w:rsidP="002B21A6">
      <w:pPr>
        <w:spacing w:after="0"/>
        <w:rPr>
          <w:lang w:val="en-US"/>
        </w:rPr>
      </w:pPr>
    </w:p>
    <w:p w14:paraId="4247A62D" w14:textId="77777777" w:rsidR="002B21A6" w:rsidRPr="002B21A6" w:rsidRDefault="002B21A6" w:rsidP="002B21A6">
      <w:pPr>
        <w:spacing w:after="0"/>
        <w:rPr>
          <w:i/>
          <w:iCs/>
          <w:lang w:val="en-US"/>
        </w:rPr>
      </w:pPr>
      <w:r w:rsidRPr="002B21A6">
        <w:rPr>
          <w:i/>
          <w:iCs/>
          <w:lang w:val="en-US"/>
        </w:rPr>
        <w:t xml:space="preserve">Procedure - step 4: Submit application to dean for approval </w:t>
      </w:r>
    </w:p>
    <w:p w14:paraId="75EBA7C4" w14:textId="6BCC5130" w:rsidR="002B21A6" w:rsidRPr="00FC3366" w:rsidRDefault="002B21A6" w:rsidP="002B21A6">
      <w:pPr>
        <w:spacing w:after="0"/>
        <w:rPr>
          <w:lang w:val="en-US"/>
        </w:rPr>
      </w:pPr>
      <w:r w:rsidRPr="002B21A6">
        <w:rPr>
          <w:lang w:val="en-US"/>
        </w:rPr>
        <w:t>The application for approval can be submitted with a mandatory advice of the HR advisor to the department head of the department</w:t>
      </w:r>
      <w:r w:rsidR="00A411AA">
        <w:rPr>
          <w:lang w:val="en-US"/>
        </w:rPr>
        <w:t>,</w:t>
      </w:r>
      <w:r w:rsidRPr="002B21A6">
        <w:rPr>
          <w:lang w:val="en-US"/>
        </w:rPr>
        <w:t xml:space="preserve"> and not to the dean. It should be noted that the test around knowledge security follows the normal route.</w:t>
      </w:r>
    </w:p>
    <w:p w14:paraId="0C509AA9" w14:textId="77777777" w:rsidR="00FC3366" w:rsidRPr="00FC3366" w:rsidRDefault="00FC3366" w:rsidP="00FC3366">
      <w:pPr>
        <w:spacing w:after="0"/>
        <w:rPr>
          <w:lang w:val="en-US"/>
        </w:rPr>
      </w:pPr>
    </w:p>
    <w:p w14:paraId="6303123A" w14:textId="0CF1D17F" w:rsidR="00A411AA" w:rsidRPr="00A411AA" w:rsidRDefault="00A411AA" w:rsidP="00A411AA">
      <w:pPr>
        <w:spacing w:after="0"/>
        <w:rPr>
          <w:i/>
          <w:iCs/>
          <w:lang w:val="en-US"/>
        </w:rPr>
      </w:pPr>
      <w:r w:rsidRPr="00A411AA">
        <w:rPr>
          <w:i/>
          <w:iCs/>
          <w:lang w:val="en-US"/>
        </w:rPr>
        <w:t xml:space="preserve">Collaboration China Scholarship Council (CSC) </w:t>
      </w:r>
    </w:p>
    <w:p w14:paraId="07DF1596" w14:textId="0A79CA56" w:rsidR="00A411AA" w:rsidRPr="00A411AA" w:rsidRDefault="00A411AA" w:rsidP="00A411AA">
      <w:pPr>
        <w:spacing w:after="0"/>
        <w:rPr>
          <w:lang w:val="en-US"/>
        </w:rPr>
      </w:pPr>
      <w:r w:rsidRPr="00A411AA">
        <w:rPr>
          <w:lang w:val="en-US"/>
        </w:rPr>
        <w:t xml:space="preserve">The Faculty Board has </w:t>
      </w:r>
      <w:r>
        <w:rPr>
          <w:lang w:val="en-US"/>
        </w:rPr>
        <w:t>decided</w:t>
      </w:r>
      <w:r w:rsidRPr="00A411AA">
        <w:rPr>
          <w:lang w:val="en-US"/>
        </w:rPr>
        <w:t xml:space="preserve"> to </w:t>
      </w:r>
      <w:r w:rsidR="00FF3C86">
        <w:rPr>
          <w:lang w:val="en-US"/>
        </w:rPr>
        <w:t>not admit</w:t>
      </w:r>
      <w:r w:rsidRPr="00A411AA">
        <w:rPr>
          <w:lang w:val="en-US"/>
        </w:rPr>
        <w:t xml:space="preserve"> </w:t>
      </w:r>
      <w:r>
        <w:rPr>
          <w:lang w:val="en-US"/>
        </w:rPr>
        <w:t>PhD candidates</w:t>
      </w:r>
      <w:r w:rsidRPr="00A411AA">
        <w:rPr>
          <w:lang w:val="en-US"/>
        </w:rPr>
        <w:t xml:space="preserve"> with so-called CSC scholarships as of September 1, 2023, due to the following reasons:</w:t>
      </w:r>
    </w:p>
    <w:p w14:paraId="144BDF28" w14:textId="19BB76DE" w:rsidR="00A411AA" w:rsidRPr="00A411AA" w:rsidRDefault="00A411AA" w:rsidP="00A411AA">
      <w:pPr>
        <w:spacing w:after="0"/>
        <w:rPr>
          <w:lang w:val="en-US"/>
        </w:rPr>
      </w:pPr>
      <w:r w:rsidRPr="00A411AA">
        <w:rPr>
          <w:lang w:val="en-US"/>
        </w:rPr>
        <w:t>1.</w:t>
      </w:r>
      <w:r w:rsidRPr="00A411AA">
        <w:rPr>
          <w:lang w:val="en-US"/>
        </w:rPr>
        <w:tab/>
        <w:t xml:space="preserve">Good employment practice: the CSC scholarship does not provide PhD </w:t>
      </w:r>
      <w:r>
        <w:rPr>
          <w:lang w:val="en-US"/>
        </w:rPr>
        <w:t xml:space="preserve">candidates </w:t>
      </w:r>
      <w:r w:rsidRPr="00A411AA">
        <w:rPr>
          <w:lang w:val="en-US"/>
        </w:rPr>
        <w:t xml:space="preserve">with sufficient financial resources to cover living expenses in the Netherlands. The CSC contribution is below </w:t>
      </w:r>
      <w:r>
        <w:rPr>
          <w:lang w:val="en-US"/>
        </w:rPr>
        <w:t>social security</w:t>
      </w:r>
      <w:r w:rsidRPr="00A411AA">
        <w:rPr>
          <w:lang w:val="en-US"/>
        </w:rPr>
        <w:t xml:space="preserve"> level</w:t>
      </w:r>
      <w:r>
        <w:rPr>
          <w:lang w:val="en-US"/>
        </w:rPr>
        <w:t>,</w:t>
      </w:r>
      <w:r w:rsidRPr="00A411AA">
        <w:rPr>
          <w:lang w:val="en-US"/>
        </w:rPr>
        <w:t xml:space="preserve"> and the FB considers it no longer desirable - in the context of good employment practice - to admit a group of PhD </w:t>
      </w:r>
      <w:r>
        <w:rPr>
          <w:lang w:val="en-US"/>
        </w:rPr>
        <w:t>candidates</w:t>
      </w:r>
      <w:r w:rsidRPr="00A411AA">
        <w:rPr>
          <w:lang w:val="en-US"/>
        </w:rPr>
        <w:t>, who are not sufficiently financially supported by their grantor.</w:t>
      </w:r>
    </w:p>
    <w:p w14:paraId="3DBCB5D5" w14:textId="49128B48" w:rsidR="00A411AA" w:rsidRPr="00A411AA" w:rsidRDefault="00A411AA" w:rsidP="00A411AA">
      <w:pPr>
        <w:spacing w:after="0"/>
        <w:rPr>
          <w:lang w:val="en-US"/>
        </w:rPr>
      </w:pPr>
      <w:r w:rsidRPr="00A411AA">
        <w:rPr>
          <w:lang w:val="en-US"/>
        </w:rPr>
        <w:t>2.</w:t>
      </w:r>
      <w:r w:rsidRPr="00A411AA">
        <w:rPr>
          <w:lang w:val="en-US"/>
        </w:rPr>
        <w:tab/>
        <w:t xml:space="preserve">In response to Parliamentary questions </w:t>
      </w:r>
      <w:r>
        <w:rPr>
          <w:lang w:val="en-US"/>
        </w:rPr>
        <w:t>concerning</w:t>
      </w:r>
      <w:r w:rsidRPr="00A411AA">
        <w:rPr>
          <w:lang w:val="en-US"/>
        </w:rPr>
        <w:t xml:space="preserve"> possible “loyalty declarations” of CSC PhD </w:t>
      </w:r>
      <w:r>
        <w:rPr>
          <w:lang w:val="en-US"/>
        </w:rPr>
        <w:t>candidates</w:t>
      </w:r>
      <w:r w:rsidRPr="00A411AA">
        <w:rPr>
          <w:lang w:val="en-US"/>
        </w:rPr>
        <w:t>, Minister Dijkgraaf indicated, “However, it is also conceivable that states</w:t>
      </w:r>
      <w:r>
        <w:rPr>
          <w:lang w:val="en-US"/>
        </w:rPr>
        <w:t>,</w:t>
      </w:r>
      <w:r w:rsidRPr="00A411AA">
        <w:rPr>
          <w:lang w:val="en-US"/>
        </w:rPr>
        <w:t xml:space="preserve"> such as China</w:t>
      </w:r>
      <w:r>
        <w:rPr>
          <w:lang w:val="en-US"/>
        </w:rPr>
        <w:t>,</w:t>
      </w:r>
      <w:r w:rsidRPr="00A411AA">
        <w:rPr>
          <w:lang w:val="en-US"/>
        </w:rPr>
        <w:t xml:space="preserve"> use this type of grant program for other purposes, such as the acquisition of high-quality knowledge and technology (for the state).” From the perspective of knowledge security, it is necessary to carefully consider the extent to which entering into agreements with CSC </w:t>
      </w:r>
      <w:r>
        <w:rPr>
          <w:lang w:val="en-US"/>
        </w:rPr>
        <w:t>candidates</w:t>
      </w:r>
      <w:r w:rsidRPr="00A411AA">
        <w:rPr>
          <w:lang w:val="en-US"/>
        </w:rPr>
        <w:t xml:space="preserve"> is desirable.</w:t>
      </w:r>
    </w:p>
    <w:p w14:paraId="1B58BDBC" w14:textId="17BE0B6E" w:rsidR="00FA450D" w:rsidRDefault="00A411AA" w:rsidP="00A411AA">
      <w:pPr>
        <w:spacing w:after="0"/>
        <w:rPr>
          <w:lang w:val="en-US"/>
        </w:rPr>
      </w:pPr>
      <w:r w:rsidRPr="00A411AA">
        <w:rPr>
          <w:lang w:val="en-US"/>
        </w:rPr>
        <w:t>3.</w:t>
      </w:r>
      <w:r w:rsidRPr="00A411AA">
        <w:rPr>
          <w:lang w:val="en-US"/>
        </w:rPr>
        <w:tab/>
        <w:t xml:space="preserve">With some CSC </w:t>
      </w:r>
      <w:r>
        <w:rPr>
          <w:lang w:val="en-US"/>
        </w:rPr>
        <w:t>candidates</w:t>
      </w:r>
      <w:r w:rsidRPr="00A411AA">
        <w:rPr>
          <w:lang w:val="en-US"/>
        </w:rPr>
        <w:t>, double degree agreements are made. Due to the fact that the Dutch and Chinese laws do not match well in the case of a double degree, it is difficult and complex to realize this double degree.</w:t>
      </w:r>
    </w:p>
    <w:p w14:paraId="0885FFCD" w14:textId="77777777" w:rsidR="00A411AA" w:rsidRPr="00A411AA" w:rsidRDefault="00A411AA" w:rsidP="00A411AA">
      <w:pPr>
        <w:spacing w:after="0"/>
        <w:rPr>
          <w:lang w:val="en-US"/>
        </w:rPr>
      </w:pPr>
      <w:r w:rsidRPr="00A411AA">
        <w:rPr>
          <w:lang w:val="en-US"/>
        </w:rPr>
        <w:lastRenderedPageBreak/>
        <w:t>4.</w:t>
      </w:r>
      <w:r w:rsidRPr="00A411AA">
        <w:rPr>
          <w:lang w:val="en-US"/>
        </w:rPr>
        <w:tab/>
        <w:t>Grants/scholarships should break even for both direct and also indirect costs. In the case of CSC grants, there is insufficient coverage for overhead costs and the direct costs involved in conducting the PhD research at the VU. This situation is no longer considered desirable by the FB.</w:t>
      </w:r>
    </w:p>
    <w:p w14:paraId="17B31758" w14:textId="77777777" w:rsidR="00A411AA" w:rsidRPr="00A411AA" w:rsidRDefault="00A411AA" w:rsidP="00A411AA">
      <w:pPr>
        <w:spacing w:after="0"/>
        <w:rPr>
          <w:lang w:val="en-US"/>
        </w:rPr>
      </w:pPr>
    </w:p>
    <w:p w14:paraId="6533C6DE" w14:textId="1506C503" w:rsidR="00A411AA" w:rsidRDefault="00A411AA" w:rsidP="00A411AA">
      <w:pPr>
        <w:spacing w:after="0"/>
        <w:rPr>
          <w:lang w:val="en-US"/>
        </w:rPr>
      </w:pPr>
      <w:r w:rsidRPr="00A411AA">
        <w:rPr>
          <w:lang w:val="en-US"/>
        </w:rPr>
        <w:t>This decision means that Beta employees will no longer be involved in any</w:t>
      </w:r>
      <w:r>
        <w:rPr>
          <w:lang w:val="en-US"/>
        </w:rPr>
        <w:t xml:space="preserve"> </w:t>
      </w:r>
      <w:r w:rsidRPr="00A411AA">
        <w:rPr>
          <w:lang w:val="en-US"/>
        </w:rPr>
        <w:t xml:space="preserve">recruitment actions </w:t>
      </w:r>
      <w:r>
        <w:rPr>
          <w:lang w:val="en-US"/>
        </w:rPr>
        <w:t>concerning</w:t>
      </w:r>
      <w:r w:rsidRPr="00A411AA">
        <w:rPr>
          <w:lang w:val="en-US"/>
        </w:rPr>
        <w:t xml:space="preserve"> CSC </w:t>
      </w:r>
      <w:r>
        <w:rPr>
          <w:lang w:val="en-US"/>
        </w:rPr>
        <w:t>candidates</w:t>
      </w:r>
      <w:r w:rsidRPr="00A411AA">
        <w:rPr>
          <w:lang w:val="en-US"/>
        </w:rPr>
        <w:t>.</w:t>
      </w:r>
    </w:p>
    <w:p w14:paraId="45090879" w14:textId="77777777" w:rsidR="00A411AA" w:rsidRPr="00FC3366" w:rsidRDefault="00A411AA" w:rsidP="00A411AA">
      <w:pPr>
        <w:spacing w:after="0"/>
        <w:rPr>
          <w:lang w:val="en-US"/>
        </w:rPr>
      </w:pPr>
    </w:p>
    <w:p w14:paraId="3673A8FE" w14:textId="77777777" w:rsidR="00FA450D" w:rsidRPr="00FA450D" w:rsidRDefault="00FA450D" w:rsidP="00FA450D">
      <w:pPr>
        <w:spacing w:after="0"/>
        <w:rPr>
          <w:b/>
          <w:bCs/>
          <w:lang w:val="en-US"/>
        </w:rPr>
      </w:pPr>
      <w:r w:rsidRPr="00FA450D">
        <w:rPr>
          <w:b/>
          <w:bCs/>
          <w:lang w:val="en-US"/>
        </w:rPr>
        <w:t>UNL: acting together towards international scholarship providers</w:t>
      </w:r>
    </w:p>
    <w:p w14:paraId="0E26EDFF" w14:textId="6AC452A0" w:rsidR="00FA450D" w:rsidRDefault="00FA450D" w:rsidP="00FA450D">
      <w:pPr>
        <w:spacing w:after="0"/>
        <w:rPr>
          <w:lang w:val="en-US"/>
        </w:rPr>
      </w:pPr>
      <w:r w:rsidRPr="00FA450D">
        <w:rPr>
          <w:lang w:val="en-US"/>
        </w:rPr>
        <w:t>Other universities are also considering under what circumstances it is desirable and feasible to host international fellowship PhD</w:t>
      </w:r>
      <w:r w:rsidR="004971C0">
        <w:rPr>
          <w:lang w:val="en-US"/>
        </w:rPr>
        <w:t xml:space="preserve"> candidates</w:t>
      </w:r>
      <w:r w:rsidRPr="00FA450D">
        <w:rPr>
          <w:lang w:val="en-US"/>
        </w:rPr>
        <w:t xml:space="preserve">. Within UNL, universities have agreed to adopt the IND standard as the minimum scholarship amount for </w:t>
      </w:r>
      <w:r w:rsidR="00767F46">
        <w:rPr>
          <w:lang w:val="en-US"/>
        </w:rPr>
        <w:t>i</w:t>
      </w:r>
      <w:r w:rsidR="00767F46" w:rsidRPr="00FA450D">
        <w:rPr>
          <w:lang w:val="en-US"/>
        </w:rPr>
        <w:t xml:space="preserve">nternational </w:t>
      </w:r>
      <w:r w:rsidR="00767F46">
        <w:rPr>
          <w:lang w:val="en-US"/>
        </w:rPr>
        <w:t>s</w:t>
      </w:r>
      <w:r w:rsidR="00767F46" w:rsidRPr="00FA450D">
        <w:rPr>
          <w:lang w:val="en-US"/>
        </w:rPr>
        <w:t xml:space="preserve">cholarship </w:t>
      </w:r>
      <w:r w:rsidR="00767F46">
        <w:rPr>
          <w:lang w:val="en-US"/>
        </w:rPr>
        <w:t>PhD candidates</w:t>
      </w:r>
      <w:r w:rsidR="00767F46" w:rsidRPr="00FA450D">
        <w:rPr>
          <w:lang w:val="en-US"/>
        </w:rPr>
        <w:t xml:space="preserve"> </w:t>
      </w:r>
      <w:r w:rsidRPr="00FA450D">
        <w:rPr>
          <w:lang w:val="en-US"/>
        </w:rPr>
        <w:t xml:space="preserve">by January 1, 2025. If the scholarship is not sufficient, then a top-up will be offered. The VU policy framework is in line with that agreement and anticipates </w:t>
      </w:r>
      <w:r w:rsidR="009E071A">
        <w:rPr>
          <w:lang w:val="en-US"/>
        </w:rPr>
        <w:t xml:space="preserve">on </w:t>
      </w:r>
      <w:r w:rsidRPr="00FA450D">
        <w:rPr>
          <w:lang w:val="en-US"/>
        </w:rPr>
        <w:t xml:space="preserve">this. The universities will additionally cooperate in entering into negotiations with scholarship providers, </w:t>
      </w:r>
      <w:r w:rsidR="009E071A">
        <w:rPr>
          <w:lang w:val="en-US"/>
        </w:rPr>
        <w:t>among others,</w:t>
      </w:r>
      <w:r w:rsidRPr="00FA450D">
        <w:rPr>
          <w:lang w:val="en-US"/>
        </w:rPr>
        <w:t xml:space="preserve"> with the goal of increasing scholarship amounts. </w:t>
      </w:r>
    </w:p>
    <w:p w14:paraId="5EC7F6C8" w14:textId="77777777" w:rsidR="00FC3366" w:rsidRDefault="00FC3366" w:rsidP="00FA450D">
      <w:pPr>
        <w:spacing w:after="0"/>
        <w:rPr>
          <w:lang w:val="en-US"/>
        </w:rPr>
      </w:pPr>
    </w:p>
    <w:p w14:paraId="57CD640D" w14:textId="77777777" w:rsidR="00FA450D" w:rsidRPr="00FA450D" w:rsidRDefault="00FA450D" w:rsidP="00FA450D">
      <w:pPr>
        <w:spacing w:after="0"/>
        <w:rPr>
          <w:lang w:val="en-US"/>
        </w:rPr>
      </w:pPr>
    </w:p>
    <w:sectPr w:rsidR="00FA450D" w:rsidRPr="00FA4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22"/>
    <w:rsid w:val="000A0605"/>
    <w:rsid w:val="000D6EAD"/>
    <w:rsid w:val="001E3A68"/>
    <w:rsid w:val="002B21A6"/>
    <w:rsid w:val="002F015F"/>
    <w:rsid w:val="003B08FE"/>
    <w:rsid w:val="004971C0"/>
    <w:rsid w:val="004D5D7D"/>
    <w:rsid w:val="005E6AFE"/>
    <w:rsid w:val="00692C42"/>
    <w:rsid w:val="006E3F05"/>
    <w:rsid w:val="006F5E0E"/>
    <w:rsid w:val="00767F46"/>
    <w:rsid w:val="007853EB"/>
    <w:rsid w:val="00846C04"/>
    <w:rsid w:val="00926D5F"/>
    <w:rsid w:val="0097466B"/>
    <w:rsid w:val="009E071A"/>
    <w:rsid w:val="00A0221D"/>
    <w:rsid w:val="00A411AA"/>
    <w:rsid w:val="00AD1868"/>
    <w:rsid w:val="00C74122"/>
    <w:rsid w:val="00CC6875"/>
    <w:rsid w:val="00D23921"/>
    <w:rsid w:val="00E24B9D"/>
    <w:rsid w:val="00E44BCF"/>
    <w:rsid w:val="00E62436"/>
    <w:rsid w:val="00E7745C"/>
    <w:rsid w:val="00FA450D"/>
    <w:rsid w:val="00FC3366"/>
    <w:rsid w:val="00FF3C8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0427"/>
  <w15:chartTrackingRefBased/>
  <w15:docId w15:val="{9C519466-A093-474C-AADF-5DB38DE5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41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741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7412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7412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7412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741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41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41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41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12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7412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7412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7412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7412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741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41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41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4122"/>
    <w:rPr>
      <w:rFonts w:eastAsiaTheme="majorEastAsia" w:cstheme="majorBidi"/>
      <w:color w:val="272727" w:themeColor="text1" w:themeTint="D8"/>
    </w:rPr>
  </w:style>
  <w:style w:type="paragraph" w:styleId="Titel">
    <w:name w:val="Title"/>
    <w:basedOn w:val="Standaard"/>
    <w:next w:val="Standaard"/>
    <w:link w:val="TitelChar"/>
    <w:uiPriority w:val="10"/>
    <w:qFormat/>
    <w:rsid w:val="00C74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41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41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41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41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4122"/>
    <w:rPr>
      <w:i/>
      <w:iCs/>
      <w:color w:val="404040" w:themeColor="text1" w:themeTint="BF"/>
    </w:rPr>
  </w:style>
  <w:style w:type="paragraph" w:styleId="Lijstalinea">
    <w:name w:val="List Paragraph"/>
    <w:basedOn w:val="Standaard"/>
    <w:uiPriority w:val="34"/>
    <w:qFormat/>
    <w:rsid w:val="00C74122"/>
    <w:pPr>
      <w:ind w:left="720"/>
      <w:contextualSpacing/>
    </w:pPr>
  </w:style>
  <w:style w:type="character" w:styleId="Intensievebenadrukking">
    <w:name w:val="Intense Emphasis"/>
    <w:basedOn w:val="Standaardalinea-lettertype"/>
    <w:uiPriority w:val="21"/>
    <w:qFormat/>
    <w:rsid w:val="00C74122"/>
    <w:rPr>
      <w:i/>
      <w:iCs/>
      <w:color w:val="2F5496" w:themeColor="accent1" w:themeShade="BF"/>
    </w:rPr>
  </w:style>
  <w:style w:type="paragraph" w:styleId="Duidelijkcitaat">
    <w:name w:val="Intense Quote"/>
    <w:basedOn w:val="Standaard"/>
    <w:next w:val="Standaard"/>
    <w:link w:val="DuidelijkcitaatChar"/>
    <w:uiPriority w:val="30"/>
    <w:qFormat/>
    <w:rsid w:val="00C74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74122"/>
    <w:rPr>
      <w:i/>
      <w:iCs/>
      <w:color w:val="2F5496" w:themeColor="accent1" w:themeShade="BF"/>
    </w:rPr>
  </w:style>
  <w:style w:type="character" w:styleId="Intensieveverwijzing">
    <w:name w:val="Intense Reference"/>
    <w:basedOn w:val="Standaardalinea-lettertype"/>
    <w:uiPriority w:val="32"/>
    <w:qFormat/>
    <w:rsid w:val="00C74122"/>
    <w:rPr>
      <w:b/>
      <w:bCs/>
      <w:smallCaps/>
      <w:color w:val="2F5496" w:themeColor="accent1" w:themeShade="BF"/>
      <w:spacing w:val="5"/>
    </w:rPr>
  </w:style>
  <w:style w:type="character" w:styleId="Hyperlink">
    <w:name w:val="Hyperlink"/>
    <w:basedOn w:val="Standaardalinea-lettertype"/>
    <w:uiPriority w:val="99"/>
    <w:unhideWhenUsed/>
    <w:rsid w:val="001E3A68"/>
    <w:rPr>
      <w:color w:val="0563C1" w:themeColor="hyperlink"/>
      <w:u w:val="single"/>
    </w:rPr>
  </w:style>
  <w:style w:type="character" w:styleId="Onopgelostemelding">
    <w:name w:val="Unresolved Mention"/>
    <w:basedOn w:val="Standaardalinea-lettertype"/>
    <w:uiPriority w:val="99"/>
    <w:semiHidden/>
    <w:unhideWhenUsed/>
    <w:rsid w:val="001E3A68"/>
    <w:rPr>
      <w:color w:val="605E5C"/>
      <w:shd w:val="clear" w:color="auto" w:fill="E1DFDD"/>
    </w:rPr>
  </w:style>
  <w:style w:type="character" w:styleId="GevolgdeHyperlink">
    <w:name w:val="FollowedHyperlink"/>
    <w:basedOn w:val="Standaardalinea-lettertype"/>
    <w:uiPriority w:val="99"/>
    <w:semiHidden/>
    <w:unhideWhenUsed/>
    <w:rsid w:val="00FC3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471385">
      <w:bodyDiv w:val="1"/>
      <w:marLeft w:val="0"/>
      <w:marRight w:val="0"/>
      <w:marTop w:val="0"/>
      <w:marBottom w:val="0"/>
      <w:divBdr>
        <w:top w:val="none" w:sz="0" w:space="0" w:color="auto"/>
        <w:left w:val="none" w:sz="0" w:space="0" w:color="auto"/>
        <w:bottom w:val="none" w:sz="0" w:space="0" w:color="auto"/>
        <w:right w:val="none" w:sz="0" w:space="0" w:color="auto"/>
      </w:divBdr>
    </w:div>
    <w:div w:id="16122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fdrive.surf.nl/files/index.php/s/s0G2h0QYPhe9OA9" TargetMode="External"/><Relationship Id="rId13" Type="http://schemas.openxmlformats.org/officeDocument/2006/relationships/hyperlink" Target="https://surfdrive.surf.nl/files/index.php/s/ZrOcti8UzwIygiM" TargetMode="External"/><Relationship Id="rId3" Type="http://schemas.openxmlformats.org/officeDocument/2006/relationships/webSettings" Target="webSettings.xml"/><Relationship Id="rId7" Type="http://schemas.openxmlformats.org/officeDocument/2006/relationships/hyperlink" Target="https://surfdrive.surf.nl/files/index.php/s/hEcBFjvM9qXPhKt" TargetMode="External"/><Relationship Id="rId12" Type="http://schemas.openxmlformats.org/officeDocument/2006/relationships/hyperlink" Target="https://surfdrive.surf.nl/files/index.php/s/ZrOcti8UzwIygi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fdrive.surf.nl/files/index.php/s/ZrOcti8UzwIygiM" TargetMode="External"/><Relationship Id="rId11" Type="http://schemas.openxmlformats.org/officeDocument/2006/relationships/hyperlink" Target="https://surfdrive.surf.nl/files/index.php/s/7wp1iC2ZP1iRyvI" TargetMode="External"/><Relationship Id="rId5" Type="http://schemas.openxmlformats.org/officeDocument/2006/relationships/hyperlink" Target="https://surfdrive.surf.nl/files/index.php/s/s0G2h0QYPhe9OA9" TargetMode="External"/><Relationship Id="rId15" Type="http://schemas.openxmlformats.org/officeDocument/2006/relationships/theme" Target="theme/theme1.xml"/><Relationship Id="rId10" Type="http://schemas.openxmlformats.org/officeDocument/2006/relationships/hyperlink" Target="https://surfdrive.surf.nl/files/index.php/s/AEcCEWviGxlDQOO" TargetMode="External"/><Relationship Id="rId4" Type="http://schemas.openxmlformats.org/officeDocument/2006/relationships/hyperlink" Target="https://surfdrive.surf.nl/files/index.php/s/hEcBFjvM9qXPhKt" TargetMode="External"/><Relationship Id="rId9" Type="http://schemas.openxmlformats.org/officeDocument/2006/relationships/hyperlink" Target="https://surfdrive.surf.nl/files/index.php/s/fDYr1a3iSpQyPx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1298</Words>
  <Characters>7404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Hoekstra, R. (Ruurdtje)</dc:creator>
  <cp:keywords/>
  <dc:description/>
  <cp:lastModifiedBy>Hoekstra, R. (Ruurdtje)</cp:lastModifiedBy>
  <cp:revision>17</cp:revision>
  <dcterms:created xsi:type="dcterms:W3CDTF">2024-09-12T07:44:00Z</dcterms:created>
  <dcterms:modified xsi:type="dcterms:W3CDTF">2024-09-16T10:02:00Z</dcterms:modified>
</cp:coreProperties>
</file>