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3518C" w14:textId="77777777" w:rsidR="00C74122" w:rsidRDefault="00C74122" w:rsidP="00C74122">
      <w:pPr>
        <w:rPr>
          <w:lang w:val="nl-NL"/>
        </w:rPr>
      </w:pPr>
    </w:p>
    <w:p w14:paraId="0F9E77FF" w14:textId="2FEB5CF2" w:rsidR="000D6EAD" w:rsidRPr="000D6EAD" w:rsidRDefault="000D6EAD" w:rsidP="00C74122">
      <w:pPr>
        <w:rPr>
          <w:b/>
          <w:bCs/>
          <w:lang w:val="nl-NL"/>
        </w:rPr>
      </w:pPr>
      <w:r w:rsidRPr="000D6EAD">
        <w:rPr>
          <w:b/>
          <w:bCs/>
          <w:lang w:val="nl-NL"/>
        </w:rPr>
        <w:t xml:space="preserve">Begeleidend schrijven over VU Beleidskader </w:t>
      </w:r>
      <w:r w:rsidRPr="00C74122">
        <w:rPr>
          <w:b/>
          <w:bCs/>
          <w:lang w:val="nl-NL"/>
        </w:rPr>
        <w:t>Internationale Beurspromovendi</w:t>
      </w:r>
      <w:r w:rsidRPr="000D6EAD">
        <w:rPr>
          <w:b/>
          <w:bCs/>
          <w:lang w:val="nl-NL"/>
        </w:rPr>
        <w:t xml:space="preserve"> met aanvullingen vanuit Bètafaculteit</w:t>
      </w:r>
      <w:r w:rsidR="004D5D7D">
        <w:rPr>
          <w:b/>
          <w:bCs/>
          <w:lang w:val="nl-NL"/>
        </w:rPr>
        <w:t>, gecommuniceerd met PhD council, PhD coordinatoren, afdelingsmanagers, afdelingshoofden en HRM.beta op 02-09-2024</w:t>
      </w:r>
    </w:p>
    <w:p w14:paraId="1966C635" w14:textId="7B928302" w:rsidR="00C74122" w:rsidRPr="00C74122" w:rsidRDefault="00C74122" w:rsidP="00C74122">
      <w:pPr>
        <w:rPr>
          <w:lang w:val="nl-NL"/>
        </w:rPr>
      </w:pPr>
      <w:r w:rsidRPr="00C74122">
        <w:rPr>
          <w:lang w:val="nl-NL"/>
        </w:rPr>
        <w:t>Op 11 juni 2024 heeft het CvB het VU-beleidskader Internationale Beurspromovendi (</w:t>
      </w:r>
      <w:hyperlink r:id="rId4" w:history="1">
        <w:r w:rsidRPr="00C74122">
          <w:rPr>
            <w:rStyle w:val="Hyperlink"/>
            <w:lang w:val="nl-NL"/>
          </w:rPr>
          <w:t>bijlage 1</w:t>
        </w:r>
      </w:hyperlink>
      <w:r w:rsidRPr="00C74122">
        <w:rPr>
          <w:lang w:val="nl-NL"/>
        </w:rPr>
        <w:t xml:space="preserve">) vastgesteld. </w:t>
      </w:r>
    </w:p>
    <w:p w14:paraId="16CE8C97" w14:textId="77777777" w:rsidR="00C74122" w:rsidRPr="00C74122" w:rsidRDefault="00C74122" w:rsidP="00C74122">
      <w:pPr>
        <w:rPr>
          <w:lang w:val="nl-NL"/>
        </w:rPr>
      </w:pPr>
    </w:p>
    <w:p w14:paraId="0CF42C37" w14:textId="5C936017" w:rsidR="00C74122" w:rsidRPr="00C74122" w:rsidRDefault="00C74122" w:rsidP="00C74122">
      <w:pPr>
        <w:rPr>
          <w:lang w:val="nl-NL"/>
        </w:rPr>
      </w:pPr>
      <w:r w:rsidRPr="00C74122">
        <w:rPr>
          <w:lang w:val="nl-NL"/>
        </w:rPr>
        <w:t xml:space="preserve">Dit voorjaar besprak het BOVU een voorstel voor een VU-beleidskader waarin de voorwaarden voor het toelaten van internationale beurspromovendi opgenomen zijn. Het BOVU adviseerde positief over het kader. Met dit bericht gaat het verzoek het VU-beleidskader Internationale Beurspromovendi te implementeren. Daarbij zijn er enkele aanvullingen voor beurspromovendi verbonden aan de Bèta faculteit beschreven in de bijlage </w:t>
      </w:r>
      <w:hyperlink r:id="rId5" w:history="1">
        <w:r w:rsidRPr="004D5D7D">
          <w:rPr>
            <w:rStyle w:val="Hyperlink"/>
            <w:lang w:val="nl-NL"/>
          </w:rPr>
          <w:t>facultair beleid</w:t>
        </w:r>
      </w:hyperlink>
      <w:r w:rsidRPr="00C74122">
        <w:rPr>
          <w:lang w:val="nl-NL"/>
        </w:rPr>
        <w:t xml:space="preserve">. </w:t>
      </w:r>
    </w:p>
    <w:p w14:paraId="0E50E5AB" w14:textId="77777777" w:rsidR="00C74122" w:rsidRPr="00C74122" w:rsidRDefault="00C74122" w:rsidP="00C74122">
      <w:pPr>
        <w:rPr>
          <w:lang w:val="nl-NL"/>
        </w:rPr>
      </w:pPr>
      <w:r w:rsidRPr="00C74122">
        <w:rPr>
          <w:lang w:val="nl-NL"/>
        </w:rPr>
        <w:t xml:space="preserve">Het kader treedt in werking per </w:t>
      </w:r>
      <w:r w:rsidRPr="00C74122">
        <w:rPr>
          <w:b/>
          <w:bCs/>
          <w:lang w:val="nl-NL"/>
        </w:rPr>
        <w:t>1 september 2024.</w:t>
      </w:r>
      <w:r w:rsidRPr="00C74122">
        <w:rPr>
          <w:lang w:val="nl-NL"/>
        </w:rPr>
        <w:t xml:space="preserve"> </w:t>
      </w:r>
    </w:p>
    <w:p w14:paraId="508780A0" w14:textId="77777777" w:rsidR="00C74122" w:rsidRPr="00C74122" w:rsidRDefault="00C74122" w:rsidP="00C74122">
      <w:pPr>
        <w:rPr>
          <w:lang w:val="nl-NL"/>
        </w:rPr>
      </w:pPr>
      <w:r w:rsidRPr="00C74122">
        <w:rPr>
          <w:lang w:val="nl-NL"/>
        </w:rPr>
        <w:t xml:space="preserve">Daarnaast lichten we een aantal ontwikkelingen binnen UNL-verband toe. </w:t>
      </w:r>
    </w:p>
    <w:p w14:paraId="795E5A1B" w14:textId="77777777" w:rsidR="00C74122" w:rsidRPr="00C74122" w:rsidRDefault="00C74122" w:rsidP="00C74122">
      <w:pPr>
        <w:rPr>
          <w:lang w:val="nl-NL"/>
        </w:rPr>
      </w:pPr>
    </w:p>
    <w:p w14:paraId="33B3B1CC" w14:textId="77777777" w:rsidR="00C74122" w:rsidRPr="00C74122" w:rsidRDefault="00C74122" w:rsidP="00C74122">
      <w:pPr>
        <w:rPr>
          <w:b/>
          <w:bCs/>
          <w:i/>
          <w:iCs/>
          <w:lang w:val="nl-NL"/>
        </w:rPr>
      </w:pPr>
      <w:r w:rsidRPr="00C74122">
        <w:rPr>
          <w:b/>
          <w:bCs/>
          <w:i/>
          <w:iCs/>
          <w:lang w:val="nl-NL"/>
        </w:rPr>
        <w:t>Implementatie VU-beleidskader Internationale Beurspromovendi</w:t>
      </w:r>
    </w:p>
    <w:p w14:paraId="0FB8BFD8" w14:textId="77777777" w:rsidR="00C74122" w:rsidRPr="00C74122" w:rsidRDefault="00C74122" w:rsidP="00C74122">
      <w:pPr>
        <w:rPr>
          <w:lang w:val="nl-NL"/>
        </w:rPr>
      </w:pPr>
      <w:r w:rsidRPr="00C74122">
        <w:rPr>
          <w:lang w:val="nl-NL"/>
        </w:rPr>
        <w:t xml:space="preserve">Het doel van het VU-kader Internationale Beurspromovendi is om nog voor de formele start van het promotietraject, duidelijkheid te scheppen over wederzijdse verwachtingen, realiseerbaarheid en invulling van het traject. Voor zowel beoogd begeleider als kandidaat-promovendus zal daarbij duidelijk moeten worden of er een basis is voor een succesvol verloop van het promotietraject. In het kader wordt een handreiking gedaan voor het doorlopen van een procedure om die duidelijkheid te verkrijgen. Een belangrijk uitgangspunt is dat iemand die </w:t>
      </w:r>
      <w:r w:rsidRPr="00C74122">
        <w:rPr>
          <w:i/>
          <w:iCs/>
          <w:lang w:val="nl-NL"/>
        </w:rPr>
        <w:t xml:space="preserve">niet </w:t>
      </w:r>
      <w:r w:rsidRPr="00C74122">
        <w:rPr>
          <w:lang w:val="nl-NL"/>
        </w:rPr>
        <w:t xml:space="preserve">bij de begeleiding betrokken zal zijn, zich een idee vormt van of er een basis is voor een succesvol verloop van het promotietraject (kortgezegd: een meerogenprincipe dat naar inzicht van de faculteit ingericht kan worden). In het kader is een nadere toelichting op de voorwaarden die van belang zijn voor het toelaten van internationale beurspromovendi opgenomen. </w:t>
      </w:r>
    </w:p>
    <w:p w14:paraId="3DA4880D" w14:textId="77777777" w:rsidR="00C74122" w:rsidRPr="00C74122" w:rsidRDefault="00C74122" w:rsidP="00C74122">
      <w:pPr>
        <w:rPr>
          <w:lang w:val="nl-NL"/>
        </w:rPr>
      </w:pPr>
    </w:p>
    <w:p w14:paraId="6C04389B" w14:textId="77777777" w:rsidR="00C74122" w:rsidRPr="00C74122" w:rsidRDefault="00C74122" w:rsidP="00C74122">
      <w:pPr>
        <w:rPr>
          <w:lang w:val="nl-NL"/>
        </w:rPr>
      </w:pPr>
      <w:r w:rsidRPr="00C74122">
        <w:rPr>
          <w:lang w:val="nl-NL"/>
        </w:rPr>
        <w:t xml:space="preserve">Het VU-beleidskader Internationale Beurspromovendi treedt in werking </w:t>
      </w:r>
      <w:r w:rsidRPr="00C74122">
        <w:rPr>
          <w:b/>
          <w:bCs/>
          <w:lang w:val="nl-NL"/>
        </w:rPr>
        <w:t xml:space="preserve">per 1 september 2024. </w:t>
      </w:r>
      <w:r w:rsidRPr="00C74122">
        <w:rPr>
          <w:lang w:val="nl-NL"/>
        </w:rPr>
        <w:t>Voor internationale beurspromovendi die vanaf dan worden toegelaten geldt dan het volgende:</w:t>
      </w:r>
    </w:p>
    <w:p w14:paraId="78FC82FF" w14:textId="3FEFF4F3" w:rsidR="00C74122" w:rsidRPr="00C74122" w:rsidRDefault="00C74122" w:rsidP="00C74122">
      <w:pPr>
        <w:rPr>
          <w:lang w:val="nl-NL"/>
        </w:rPr>
      </w:pPr>
      <w:r w:rsidRPr="00C74122">
        <w:rPr>
          <w:lang w:val="nl-NL"/>
        </w:rPr>
        <w:t>1. Duidelijk moet zijn dat de kwaliteit van een eerste onderzoeksvoorstel op niveau is, dat de Engelse taalvaardigheid is geverifieerd, dat het Kader Kennisveiligheid is gevolgd en dat er een budgetplan is voor de hele duur van het promotietraject. Zie voor een toelichting de procedurebeschrijving zoals die is opgenomen in het VU-beleidskader Internationale Beurspromovendi (</w:t>
      </w:r>
      <w:hyperlink r:id="rId6" w:history="1">
        <w:r w:rsidRPr="00C74122">
          <w:rPr>
            <w:rStyle w:val="Hyperlink"/>
            <w:lang w:val="nl-NL"/>
          </w:rPr>
          <w:t>bijlage 1</w:t>
        </w:r>
      </w:hyperlink>
      <w:r w:rsidRPr="00C74122">
        <w:rPr>
          <w:lang w:val="nl-NL"/>
        </w:rPr>
        <w:t xml:space="preserve">).  </w:t>
      </w:r>
    </w:p>
    <w:p w14:paraId="0A3A7809" w14:textId="4879B9A2" w:rsidR="00C74122" w:rsidRPr="00C74122" w:rsidRDefault="00C74122" w:rsidP="00C74122">
      <w:pPr>
        <w:rPr>
          <w:lang w:val="nl-NL"/>
        </w:rPr>
      </w:pPr>
      <w:r w:rsidRPr="00C74122">
        <w:rPr>
          <w:lang w:val="nl-NL"/>
        </w:rPr>
        <w:t xml:space="preserve">2. Als minimumbedrag voor de hoogte van de beurs wordt de IND-norm gehanteerd. Als de beurs niet toereikend is, verzorgt de faculteit een top-up. Een toelichting voor het bieden van die top up </w:t>
      </w:r>
      <w:r w:rsidR="004D5D7D">
        <w:rPr>
          <w:lang w:val="nl-NL"/>
        </w:rPr>
        <w:t>st</w:t>
      </w:r>
      <w:r w:rsidRPr="00C74122">
        <w:rPr>
          <w:lang w:val="nl-NL"/>
        </w:rPr>
        <w:t xml:space="preserve">aat in </w:t>
      </w:r>
      <w:hyperlink r:id="rId7" w:history="1">
        <w:r w:rsidRPr="004D5D7D">
          <w:rPr>
            <w:rStyle w:val="Hyperlink"/>
            <w:lang w:val="nl-NL"/>
          </w:rPr>
          <w:t>bijlage 2</w:t>
        </w:r>
      </w:hyperlink>
      <w:r w:rsidRPr="00C74122">
        <w:rPr>
          <w:lang w:val="nl-NL"/>
        </w:rPr>
        <w:t xml:space="preserve">; een format voor het vastleggen van afspraken rondom de top-up </w:t>
      </w:r>
      <w:r w:rsidR="004D5D7D">
        <w:rPr>
          <w:lang w:val="nl-NL"/>
        </w:rPr>
        <w:t>st</w:t>
      </w:r>
      <w:r w:rsidRPr="00C74122">
        <w:rPr>
          <w:lang w:val="nl-NL"/>
        </w:rPr>
        <w:t xml:space="preserve">aat in </w:t>
      </w:r>
      <w:hyperlink r:id="rId8" w:history="1">
        <w:r w:rsidRPr="004D5D7D">
          <w:rPr>
            <w:rStyle w:val="Hyperlink"/>
            <w:lang w:val="nl-NL"/>
          </w:rPr>
          <w:t>bijlage 3</w:t>
        </w:r>
      </w:hyperlink>
      <w:r w:rsidRPr="00C74122">
        <w:rPr>
          <w:lang w:val="nl-NL"/>
        </w:rPr>
        <w:t xml:space="preserve">. Voor de top up verwijzen we naar het </w:t>
      </w:r>
      <w:hyperlink r:id="rId9" w:history="1">
        <w:r w:rsidRPr="004D5D7D">
          <w:rPr>
            <w:rStyle w:val="Hyperlink"/>
            <w:lang w:val="nl-NL"/>
          </w:rPr>
          <w:t>aanvullende facultair beleid</w:t>
        </w:r>
      </w:hyperlink>
      <w:r w:rsidRPr="00C74122">
        <w:rPr>
          <w:lang w:val="nl-NL"/>
        </w:rPr>
        <w:t>.</w:t>
      </w:r>
    </w:p>
    <w:p w14:paraId="001BAD71" w14:textId="77777777" w:rsidR="00C74122" w:rsidRPr="00C74122" w:rsidRDefault="00C74122" w:rsidP="00C74122">
      <w:pPr>
        <w:rPr>
          <w:lang w:val="nl-NL"/>
        </w:rPr>
      </w:pPr>
      <w:r w:rsidRPr="00C74122">
        <w:rPr>
          <w:lang w:val="nl-NL"/>
        </w:rPr>
        <w:t>3. Toegang tot de benodigde onderzoeksfaciliteiten en inbedding in de VU-gemeenschap is geborgd.</w:t>
      </w:r>
    </w:p>
    <w:p w14:paraId="40D9760F" w14:textId="77777777" w:rsidR="00C74122" w:rsidRPr="00C74122" w:rsidRDefault="00C74122" w:rsidP="00C74122">
      <w:pPr>
        <w:rPr>
          <w:lang w:val="nl-NL"/>
        </w:rPr>
      </w:pPr>
    </w:p>
    <w:p w14:paraId="7192E528" w14:textId="77777777" w:rsidR="00C74122" w:rsidRPr="00C74122" w:rsidRDefault="00C74122" w:rsidP="00C74122">
      <w:pPr>
        <w:rPr>
          <w:lang w:val="nl-NL"/>
        </w:rPr>
      </w:pPr>
      <w:r w:rsidRPr="00C74122">
        <w:rPr>
          <w:lang w:val="nl-NL"/>
        </w:rPr>
        <w:lastRenderedPageBreak/>
        <w:t xml:space="preserve">In het voorjaar van 2025 zal de implementatie van het beleidskader worden geëvalueerd. </w:t>
      </w:r>
    </w:p>
    <w:p w14:paraId="2B6E113D" w14:textId="77777777" w:rsidR="00C74122" w:rsidRPr="00C74122" w:rsidRDefault="00C74122" w:rsidP="00C74122">
      <w:pPr>
        <w:rPr>
          <w:lang w:val="nl-NL"/>
        </w:rPr>
      </w:pPr>
    </w:p>
    <w:p w14:paraId="3898259B" w14:textId="77777777" w:rsidR="00C74122" w:rsidRPr="00C74122" w:rsidRDefault="00C74122" w:rsidP="00C74122">
      <w:pPr>
        <w:rPr>
          <w:b/>
          <w:bCs/>
          <w:i/>
          <w:iCs/>
          <w:lang w:val="nl-NL"/>
        </w:rPr>
      </w:pPr>
      <w:r w:rsidRPr="00C74122">
        <w:rPr>
          <w:b/>
          <w:bCs/>
          <w:i/>
          <w:iCs/>
          <w:lang w:val="nl-NL"/>
        </w:rPr>
        <w:t>Facultair beleid</w:t>
      </w:r>
    </w:p>
    <w:p w14:paraId="3FE779FC" w14:textId="77777777" w:rsidR="00C74122" w:rsidRPr="00C74122" w:rsidRDefault="00C74122" w:rsidP="00C74122">
      <w:pPr>
        <w:rPr>
          <w:lang w:val="nl-NL"/>
        </w:rPr>
      </w:pPr>
      <w:r w:rsidRPr="00C74122">
        <w:rPr>
          <w:lang w:val="nl-NL"/>
        </w:rPr>
        <w:t>Eerder is in de Bèta faculteit een richtlijn voor het beleid buitenlandse beurspromovendi opgesteld.</w:t>
      </w:r>
    </w:p>
    <w:p w14:paraId="2E3F87BF" w14:textId="3C6D573C" w:rsidR="00C74122" w:rsidRPr="00C74122" w:rsidRDefault="00C74122" w:rsidP="00C74122">
      <w:pPr>
        <w:rPr>
          <w:lang w:val="nl-NL"/>
        </w:rPr>
      </w:pPr>
      <w:r w:rsidRPr="00C74122">
        <w:rPr>
          <w:lang w:val="nl-NL"/>
        </w:rPr>
        <w:t xml:space="preserve">Per 1 september 2024 is de nieuwe VU richtlijn leidend en vervalt de Beta richtlijn. Aanvullend zijn er wel enkele specifieke zaken voor Bèta leidend. Deze staan toegelicht in document </w:t>
      </w:r>
      <w:hyperlink r:id="rId10" w:history="1">
        <w:r w:rsidRPr="00C74122">
          <w:rPr>
            <w:rStyle w:val="Hyperlink"/>
            <w:lang w:val="nl-NL"/>
          </w:rPr>
          <w:t>Internationale Beurspromovendi – Facultair beleid 240822</w:t>
        </w:r>
      </w:hyperlink>
      <w:r w:rsidRPr="00C74122">
        <w:rPr>
          <w:lang w:val="nl-NL"/>
        </w:rPr>
        <w:t xml:space="preserve">. </w:t>
      </w:r>
    </w:p>
    <w:p w14:paraId="56478400" w14:textId="77777777" w:rsidR="00C74122" w:rsidRPr="00C74122" w:rsidRDefault="00C74122" w:rsidP="00C74122">
      <w:pPr>
        <w:rPr>
          <w:lang w:val="nl-NL"/>
        </w:rPr>
      </w:pPr>
    </w:p>
    <w:p w14:paraId="109FD722" w14:textId="77777777" w:rsidR="00C74122" w:rsidRPr="00C74122" w:rsidRDefault="00C74122" w:rsidP="00C74122">
      <w:pPr>
        <w:rPr>
          <w:b/>
          <w:bCs/>
          <w:i/>
          <w:iCs/>
          <w:lang w:val="nl-NL"/>
        </w:rPr>
      </w:pPr>
      <w:r w:rsidRPr="00C74122">
        <w:rPr>
          <w:b/>
          <w:bCs/>
          <w:i/>
          <w:iCs/>
          <w:lang w:val="nl-NL"/>
        </w:rPr>
        <w:t>UNL: gezamenlijk optrekken richting internationale beursverstrekkers</w:t>
      </w:r>
    </w:p>
    <w:p w14:paraId="5F0CF2BD" w14:textId="77777777" w:rsidR="00C74122" w:rsidRPr="00C74122" w:rsidRDefault="00C74122" w:rsidP="00C74122">
      <w:pPr>
        <w:rPr>
          <w:lang w:val="nl-NL"/>
        </w:rPr>
      </w:pPr>
      <w:r w:rsidRPr="00C74122">
        <w:rPr>
          <w:lang w:val="nl-NL"/>
        </w:rPr>
        <w:t xml:space="preserve">Ook aan andere universiteiten wordt nagedacht over onder welke omstandigheden het wenselijk en haalbaar is om internationale beurspromovendi te ontvangen. Binnen UNL hebben universiteiten de afspraak gemaakt per 1 januari 2025 de IND-norm als minimum beursbedrag voor internationale beurspromovendi te hanteren. Als de beurs niet toereikend is, dan wordt een top-up geboden. Het VU-beleidskader is in lijn met die afspraak en sorteert hierop voor. De universiteiten gaan daarnaast samenwerken in het aangaan van onderhandelingen met beursverstrekkers, onder meer met als inzet het verhogen van beursbedragen. </w:t>
      </w:r>
    </w:p>
    <w:p w14:paraId="0EC93021" w14:textId="77777777" w:rsidR="00C74122" w:rsidRPr="00C74122" w:rsidRDefault="00C74122" w:rsidP="00C74122">
      <w:pPr>
        <w:rPr>
          <w:lang w:val="nl-NL"/>
        </w:rPr>
      </w:pPr>
    </w:p>
    <w:p w14:paraId="46A05BC8" w14:textId="77777777" w:rsidR="00CC6875" w:rsidRPr="00C74122" w:rsidRDefault="00CC6875">
      <w:pPr>
        <w:rPr>
          <w:lang w:val="nl-NL"/>
        </w:rPr>
      </w:pPr>
    </w:p>
    <w:sectPr w:rsidR="00CC6875" w:rsidRPr="00C741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122"/>
    <w:rsid w:val="000D6EAD"/>
    <w:rsid w:val="001E3A68"/>
    <w:rsid w:val="004D5D7D"/>
    <w:rsid w:val="005E6AFE"/>
    <w:rsid w:val="00692C42"/>
    <w:rsid w:val="00C74122"/>
    <w:rsid w:val="00CC6875"/>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00427"/>
  <w15:chartTrackingRefBased/>
  <w15:docId w15:val="{9C519466-A093-474C-AADF-5DB38DE5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741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741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7412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7412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7412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7412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7412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7412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7412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412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7412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7412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7412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7412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7412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7412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7412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74122"/>
    <w:rPr>
      <w:rFonts w:eastAsiaTheme="majorEastAsia" w:cstheme="majorBidi"/>
      <w:color w:val="272727" w:themeColor="text1" w:themeTint="D8"/>
    </w:rPr>
  </w:style>
  <w:style w:type="paragraph" w:styleId="Titel">
    <w:name w:val="Title"/>
    <w:basedOn w:val="Standaard"/>
    <w:next w:val="Standaard"/>
    <w:link w:val="TitelChar"/>
    <w:uiPriority w:val="10"/>
    <w:qFormat/>
    <w:rsid w:val="00C741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7412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7412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7412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7412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74122"/>
    <w:rPr>
      <w:i/>
      <w:iCs/>
      <w:color w:val="404040" w:themeColor="text1" w:themeTint="BF"/>
    </w:rPr>
  </w:style>
  <w:style w:type="paragraph" w:styleId="Lijstalinea">
    <w:name w:val="List Paragraph"/>
    <w:basedOn w:val="Standaard"/>
    <w:uiPriority w:val="34"/>
    <w:qFormat/>
    <w:rsid w:val="00C74122"/>
    <w:pPr>
      <w:ind w:left="720"/>
      <w:contextualSpacing/>
    </w:pPr>
  </w:style>
  <w:style w:type="character" w:styleId="Intensievebenadrukking">
    <w:name w:val="Intense Emphasis"/>
    <w:basedOn w:val="Standaardalinea-lettertype"/>
    <w:uiPriority w:val="21"/>
    <w:qFormat/>
    <w:rsid w:val="00C74122"/>
    <w:rPr>
      <w:i/>
      <w:iCs/>
      <w:color w:val="2F5496" w:themeColor="accent1" w:themeShade="BF"/>
    </w:rPr>
  </w:style>
  <w:style w:type="paragraph" w:styleId="Duidelijkcitaat">
    <w:name w:val="Intense Quote"/>
    <w:basedOn w:val="Standaard"/>
    <w:next w:val="Standaard"/>
    <w:link w:val="DuidelijkcitaatChar"/>
    <w:uiPriority w:val="30"/>
    <w:qFormat/>
    <w:rsid w:val="00C741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74122"/>
    <w:rPr>
      <w:i/>
      <w:iCs/>
      <w:color w:val="2F5496" w:themeColor="accent1" w:themeShade="BF"/>
    </w:rPr>
  </w:style>
  <w:style w:type="character" w:styleId="Intensieveverwijzing">
    <w:name w:val="Intense Reference"/>
    <w:basedOn w:val="Standaardalinea-lettertype"/>
    <w:uiPriority w:val="32"/>
    <w:qFormat/>
    <w:rsid w:val="00C74122"/>
    <w:rPr>
      <w:b/>
      <w:bCs/>
      <w:smallCaps/>
      <w:color w:val="2F5496" w:themeColor="accent1" w:themeShade="BF"/>
      <w:spacing w:val="5"/>
    </w:rPr>
  </w:style>
  <w:style w:type="character" w:styleId="Hyperlink">
    <w:name w:val="Hyperlink"/>
    <w:basedOn w:val="Standaardalinea-lettertype"/>
    <w:uiPriority w:val="99"/>
    <w:unhideWhenUsed/>
    <w:rsid w:val="001E3A68"/>
    <w:rPr>
      <w:color w:val="0563C1" w:themeColor="hyperlink"/>
      <w:u w:val="single"/>
    </w:rPr>
  </w:style>
  <w:style w:type="character" w:styleId="Onopgelostemelding">
    <w:name w:val="Unresolved Mention"/>
    <w:basedOn w:val="Standaardalinea-lettertype"/>
    <w:uiPriority w:val="99"/>
    <w:semiHidden/>
    <w:unhideWhenUsed/>
    <w:rsid w:val="001E3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471385">
      <w:bodyDiv w:val="1"/>
      <w:marLeft w:val="0"/>
      <w:marRight w:val="0"/>
      <w:marTop w:val="0"/>
      <w:marBottom w:val="0"/>
      <w:divBdr>
        <w:top w:val="none" w:sz="0" w:space="0" w:color="auto"/>
        <w:left w:val="none" w:sz="0" w:space="0" w:color="auto"/>
        <w:bottom w:val="none" w:sz="0" w:space="0" w:color="auto"/>
        <w:right w:val="none" w:sz="0" w:space="0" w:color="auto"/>
      </w:divBdr>
    </w:div>
    <w:div w:id="161227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fdrive.surf.nl/files/index.php/s/7wp1iC2ZP1iRyvI" TargetMode="External"/><Relationship Id="rId3" Type="http://schemas.openxmlformats.org/officeDocument/2006/relationships/webSettings" Target="webSettings.xml"/><Relationship Id="rId7" Type="http://schemas.openxmlformats.org/officeDocument/2006/relationships/hyperlink" Target="https://surfdrive.surf.nl/files/index.php/s/fDYr1a3iSpQyPx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rfdrive.surf.nl/files/index.php/s/hEcBFjvM9qXPhKt" TargetMode="External"/><Relationship Id="rId11" Type="http://schemas.openxmlformats.org/officeDocument/2006/relationships/fontTable" Target="fontTable.xml"/><Relationship Id="rId5" Type="http://schemas.openxmlformats.org/officeDocument/2006/relationships/hyperlink" Target="https://surfdrive.surf.nl/files/index.php/s/ZrOcti8UzwIygiM" TargetMode="External"/><Relationship Id="rId10" Type="http://schemas.openxmlformats.org/officeDocument/2006/relationships/hyperlink" Target="https://surfdrive.surf.nl/files/index.php/s/ZrOcti8UzwIygiM" TargetMode="External"/><Relationship Id="rId4" Type="http://schemas.openxmlformats.org/officeDocument/2006/relationships/hyperlink" Target="https://surfdrive.surf.nl/files/index.php/s/hEcBFjvM9qXPhKt" TargetMode="External"/><Relationship Id="rId9" Type="http://schemas.openxmlformats.org/officeDocument/2006/relationships/hyperlink" Target="https://surfdrive.surf.nl/files/index.php/s/ZrOcti8UzwIyg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681</Words>
  <Characters>3885</Characters>
  <Application>Microsoft Office Word</Application>
  <DocSecurity>0</DocSecurity>
  <Lines>32</Lines>
  <Paragraphs>9</Paragraphs>
  <ScaleCrop>false</ScaleCrop>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Hoekstra, R. (Ruurdtje)</dc:creator>
  <cp:keywords/>
  <dc:description/>
  <cp:lastModifiedBy>Hoekstra, R. (Ruurdtje)</cp:lastModifiedBy>
  <cp:revision>4</cp:revision>
  <dcterms:created xsi:type="dcterms:W3CDTF">2024-09-02T09:19:00Z</dcterms:created>
  <dcterms:modified xsi:type="dcterms:W3CDTF">2024-09-02T09:37:00Z</dcterms:modified>
</cp:coreProperties>
</file>