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7909"/>
      </w:tblGrid>
      <w:tr w:rsidR="0058709E" w:rsidRPr="006E6B8D" w14:paraId="0D31C963" w14:textId="77777777" w:rsidTr="006E6B8D">
        <w:trPr>
          <w:trHeight w:val="256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B745B1" w14:textId="77777777" w:rsidR="0058709E" w:rsidRPr="006E6B8D" w:rsidRDefault="0058709E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i/>
                <w:sz w:val="22"/>
                <w:szCs w:val="22"/>
              </w:rPr>
              <w:t>School/</w:t>
            </w:r>
            <w:r w:rsidR="00027D94" w:rsidRPr="006E6B8D">
              <w:rPr>
                <w:rFonts w:ascii="Calibri" w:hAnsi="Calibri" w:cs="Calibri"/>
                <w:b/>
                <w:i/>
                <w:sz w:val="22"/>
                <w:szCs w:val="22"/>
              </w:rPr>
              <w:t>Department</w:t>
            </w:r>
            <w:r w:rsidRPr="006E6B8D">
              <w:rPr>
                <w:rFonts w:ascii="Calibri" w:hAnsi="Calibri" w:cs="Calibri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F95B56" w14:textId="77777777" w:rsidR="0058709E" w:rsidRPr="006E6B8D" w:rsidRDefault="002A0877" w:rsidP="00C3779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sz w:val="22"/>
                <w:szCs w:val="22"/>
              </w:rPr>
              <w:t xml:space="preserve">Molecular Genetics Department, </w:t>
            </w:r>
            <w:r w:rsidR="00C37797" w:rsidRPr="006E6B8D"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 w:rsidRPr="006E6B8D">
              <w:rPr>
                <w:rFonts w:ascii="Calibri" w:hAnsi="Calibri" w:cs="Calibri"/>
                <w:b/>
                <w:sz w:val="22"/>
                <w:szCs w:val="22"/>
              </w:rPr>
              <w:t xml:space="preserve">iomedical </w:t>
            </w:r>
            <w:r w:rsidR="00C37797" w:rsidRPr="006E6B8D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6E6B8D">
              <w:rPr>
                <w:rFonts w:ascii="Calibri" w:hAnsi="Calibri" w:cs="Calibri"/>
                <w:b/>
                <w:sz w:val="22"/>
                <w:szCs w:val="22"/>
              </w:rPr>
              <w:t>ciences</w:t>
            </w:r>
            <w:r w:rsidR="00C37797" w:rsidRPr="006E6B8D">
              <w:rPr>
                <w:rFonts w:ascii="Calibri" w:hAnsi="Calibri" w:cs="Calibri"/>
                <w:b/>
                <w:sz w:val="22"/>
                <w:szCs w:val="22"/>
              </w:rPr>
              <w:t>, Erasmus MC</w:t>
            </w:r>
          </w:p>
        </w:tc>
      </w:tr>
      <w:tr w:rsidR="002411AE" w:rsidRPr="006E6B8D" w14:paraId="3E741005" w14:textId="77777777" w:rsidTr="006E6B8D">
        <w:trPr>
          <w:trHeight w:val="48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4DE4F" w14:textId="77777777" w:rsidR="002411AE" w:rsidRPr="006E6B8D" w:rsidRDefault="002411AE" w:rsidP="00BE0A0D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i/>
                <w:sz w:val="22"/>
                <w:szCs w:val="22"/>
              </w:rPr>
              <w:t>Supervisor information:</w:t>
            </w:r>
          </w:p>
          <w:p w14:paraId="1D2F5610" w14:textId="77777777" w:rsidR="006F4D1C" w:rsidRPr="006E6B8D" w:rsidRDefault="006F4D1C" w:rsidP="00BE0A0D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4A0797F5" w14:textId="3C0572CA" w:rsidR="006F4D1C" w:rsidRPr="006E6B8D" w:rsidRDefault="003E40B2" w:rsidP="00BE0A0D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hyperlink r:id="rId7" w:history="1">
              <w:r w:rsidR="006F4D1C" w:rsidRPr="006E6B8D">
                <w:rPr>
                  <w:rStyle w:val="a4"/>
                  <w:rFonts w:ascii="Calibri" w:hAnsi="Calibri" w:cs="Calibri"/>
                  <w:sz w:val="22"/>
                  <w:szCs w:val="22"/>
                </w:rPr>
                <w:t>World no 30 Biomedical Sciences</w:t>
              </w:r>
            </w:hyperlink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664D" w14:textId="77777777" w:rsidR="00C81B6E" w:rsidRPr="006E6B8D" w:rsidRDefault="00923FE5" w:rsidP="006C0BB3">
            <w:pPr>
              <w:numPr>
                <w:ilvl w:val="0"/>
                <w:numId w:val="11"/>
              </w:numPr>
              <w:ind w:left="197" w:hanging="197"/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sz w:val="22"/>
                <w:szCs w:val="22"/>
              </w:rPr>
              <w:t xml:space="preserve">Prof. </w:t>
            </w:r>
            <w:r w:rsidR="002A0877" w:rsidRPr="006E6B8D">
              <w:rPr>
                <w:rFonts w:ascii="Calibri" w:hAnsi="Calibri" w:cs="Calibri"/>
                <w:sz w:val="22"/>
                <w:szCs w:val="22"/>
              </w:rPr>
              <w:t>Dr. Jurgen Marteij</w:t>
            </w:r>
            <w:r w:rsidR="00173F65" w:rsidRPr="006E6B8D">
              <w:rPr>
                <w:rFonts w:ascii="Calibri" w:hAnsi="Calibri" w:cs="Calibri"/>
                <w:sz w:val="22"/>
                <w:szCs w:val="22"/>
              </w:rPr>
              <w:t>n</w:t>
            </w:r>
            <w:r w:rsidR="00C81B6E" w:rsidRPr="006E6B8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3A2A58B6" w14:textId="77777777" w:rsidR="002411AE" w:rsidRPr="006E6B8D" w:rsidRDefault="00C81B6E" w:rsidP="006C0BB3">
            <w:pPr>
              <w:ind w:left="906" w:hanging="720"/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sz w:val="22"/>
                <w:szCs w:val="22"/>
              </w:rPr>
              <w:t>(Full Professor on Transcription Stress and DNA damage response)</w:t>
            </w:r>
          </w:p>
          <w:p w14:paraId="059A1590" w14:textId="77777777" w:rsidR="002411AE" w:rsidRPr="006E6B8D" w:rsidRDefault="003E40B2" w:rsidP="006C0BB3">
            <w:pPr>
              <w:numPr>
                <w:ilvl w:val="0"/>
                <w:numId w:val="11"/>
              </w:numPr>
              <w:ind w:left="197" w:hanging="197"/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173F65" w:rsidRPr="006E6B8D">
                <w:rPr>
                  <w:rStyle w:val="a4"/>
                  <w:rFonts w:ascii="Calibri" w:hAnsi="Calibri" w:cs="Calibri"/>
                  <w:sz w:val="22"/>
                  <w:szCs w:val="22"/>
                </w:rPr>
                <w:t>J.Marteijn@erasmusmc.nl</w:t>
              </w:r>
            </w:hyperlink>
          </w:p>
          <w:p w14:paraId="0339E7D1" w14:textId="77777777" w:rsidR="002411AE" w:rsidRPr="006E6B8D" w:rsidRDefault="003E40B2" w:rsidP="006C0BB3">
            <w:pPr>
              <w:numPr>
                <w:ilvl w:val="0"/>
                <w:numId w:val="11"/>
              </w:numPr>
              <w:ind w:left="197" w:hanging="197"/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173F65" w:rsidRPr="006E6B8D">
                <w:rPr>
                  <w:rStyle w:val="a4"/>
                  <w:rFonts w:ascii="Calibri" w:hAnsi="Calibri" w:cs="Calibri"/>
                  <w:sz w:val="22"/>
                  <w:szCs w:val="22"/>
                </w:rPr>
                <w:t>www.genomestability.nl</w:t>
              </w:r>
            </w:hyperlink>
          </w:p>
          <w:p w14:paraId="5F7F00BC" w14:textId="77777777" w:rsidR="00173F65" w:rsidRPr="006E6B8D" w:rsidRDefault="00173F65" w:rsidP="00173F65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64C14E7" w14:textId="77777777" w:rsidR="006C0BB3" w:rsidRPr="006E6B8D" w:rsidRDefault="00173F65" w:rsidP="006C0BB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sz w:val="22"/>
                <w:szCs w:val="22"/>
              </w:rPr>
              <w:t>Grants and Prizes:</w:t>
            </w:r>
          </w:p>
          <w:p w14:paraId="4FCA9BE9" w14:textId="77777777" w:rsidR="00C81B6E" w:rsidRPr="006E6B8D" w:rsidRDefault="006C0BB3" w:rsidP="006C0BB3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 w:rsidRPr="006E6B8D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2019:</w:t>
            </w:r>
            <w:r w:rsidRPr="006E6B8D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="00C81B6E" w:rsidRPr="006E6B8D">
              <w:rPr>
                <w:rFonts w:ascii="Calibri" w:eastAsia="Times New Roman" w:hAnsi="Calibri" w:cs="Calibri"/>
                <w:sz w:val="22"/>
                <w:szCs w:val="22"/>
              </w:rPr>
              <w:t>AMMODO Science award for groundbreaking research (€1.200.000)</w:t>
            </w:r>
          </w:p>
          <w:p w14:paraId="2ACC2A1D" w14:textId="77777777" w:rsidR="00C81B6E" w:rsidRPr="006E6B8D" w:rsidRDefault="00C81B6E" w:rsidP="00C81B6E">
            <w:pPr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E6B8D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2019</w:t>
            </w:r>
            <w:r w:rsidR="006C0BB3" w:rsidRPr="006E6B8D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:</w:t>
            </w:r>
            <w:r w:rsidR="006C0BB3" w:rsidRPr="006E6B8D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Pr="006E6B8D">
              <w:rPr>
                <w:rFonts w:ascii="Calibri" w:eastAsia="Times New Roman" w:hAnsi="Calibri" w:cs="Calibri"/>
                <w:sz w:val="22"/>
                <w:szCs w:val="22"/>
              </w:rPr>
              <w:t xml:space="preserve">VICI Grant of Netherlands Organization for Scientific Research (€1.500.000).     </w:t>
            </w:r>
          </w:p>
          <w:p w14:paraId="757866A9" w14:textId="77777777" w:rsidR="00C81B6E" w:rsidRPr="006E6B8D" w:rsidRDefault="00C81B6E" w:rsidP="00C81B6E">
            <w:pPr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E6B8D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2014</w:t>
            </w:r>
            <w:r w:rsidR="006C0BB3" w:rsidRPr="006E6B8D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:</w:t>
            </w:r>
            <w:r w:rsidR="006C0BB3" w:rsidRPr="006E6B8D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Pr="006E6B8D">
              <w:rPr>
                <w:rFonts w:ascii="Calibri" w:eastAsia="Times New Roman" w:hAnsi="Calibri" w:cs="Calibri"/>
                <w:sz w:val="22"/>
                <w:szCs w:val="22"/>
              </w:rPr>
              <w:t xml:space="preserve">VIDI Grant of Netherlands Organization for Scientific Research (€800.000).      </w:t>
            </w:r>
          </w:p>
          <w:p w14:paraId="27075037" w14:textId="77777777" w:rsidR="00C81B6E" w:rsidRPr="006E6B8D" w:rsidRDefault="00C81B6E" w:rsidP="00C81B6E">
            <w:pPr>
              <w:autoSpaceDE w:val="0"/>
              <w:autoSpaceDN w:val="0"/>
              <w:rPr>
                <w:rFonts w:ascii="Calibri" w:eastAsia="Times New Roman" w:hAnsi="Calibri" w:cs="Calibri"/>
                <w:sz w:val="22"/>
                <w:szCs w:val="22"/>
              </w:rPr>
            </w:pPr>
            <w:r w:rsidRPr="006E6B8D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2011</w:t>
            </w:r>
            <w:r w:rsidR="006C0BB3" w:rsidRPr="006E6B8D">
              <w:rPr>
                <w:rFonts w:ascii="Calibri" w:eastAsia="Times New Roman" w:hAnsi="Calibri" w:cs="Calibri"/>
                <w:b/>
                <w:bCs/>
                <w:sz w:val="22"/>
                <w:szCs w:val="22"/>
              </w:rPr>
              <w:t>:</w:t>
            </w:r>
            <w:r w:rsidR="006C0BB3" w:rsidRPr="006E6B8D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Pr="006E6B8D">
              <w:rPr>
                <w:rFonts w:ascii="Calibri" w:eastAsia="Times New Roman" w:hAnsi="Calibri" w:cs="Calibri"/>
                <w:sz w:val="22"/>
                <w:szCs w:val="22"/>
              </w:rPr>
              <w:t>Erasmus MC Fellowship (€ 400.000).</w:t>
            </w:r>
          </w:p>
          <w:p w14:paraId="5E9D1A55" w14:textId="77777777" w:rsidR="00745D45" w:rsidRPr="006E6B8D" w:rsidRDefault="00745D45" w:rsidP="00745D4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C080C3D" w14:textId="77777777" w:rsidR="00971964" w:rsidRPr="006E6B8D" w:rsidRDefault="00C37797" w:rsidP="0097196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sz w:val="22"/>
                <w:szCs w:val="22"/>
              </w:rPr>
              <w:t xml:space="preserve">5 </w:t>
            </w:r>
            <w:r w:rsidR="00971964" w:rsidRPr="006E6B8D">
              <w:rPr>
                <w:rFonts w:ascii="Calibri" w:hAnsi="Calibri" w:cs="Calibri"/>
                <w:b/>
                <w:sz w:val="22"/>
                <w:szCs w:val="22"/>
              </w:rPr>
              <w:t>Selected papers:</w:t>
            </w:r>
          </w:p>
          <w:p w14:paraId="6BCA666F" w14:textId="77777777" w:rsidR="006C0BB3" w:rsidRPr="006E6B8D" w:rsidRDefault="006C0BB3" w:rsidP="006C0BB3">
            <w:pPr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bCs/>
                <w:sz w:val="22"/>
                <w:szCs w:val="22"/>
              </w:rPr>
              <w:t>1: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 Elongation factor ELOF1 drives transcription-coupled repair and prevents genome instability. Geijer M, …, Marteijn JA. </w:t>
            </w:r>
            <w:r w:rsidRPr="006E6B8D">
              <w:rPr>
                <w:rFonts w:ascii="Calibri" w:hAnsi="Calibri" w:cs="Calibri"/>
                <w:b/>
                <w:bCs/>
                <w:sz w:val="22"/>
                <w:szCs w:val="22"/>
              </w:rPr>
              <w:t>Nature Cell Biology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 (Accepted 2021)</w:t>
            </w:r>
          </w:p>
          <w:p w14:paraId="4EC8AE34" w14:textId="77777777" w:rsidR="006C0BB3" w:rsidRPr="006E6B8D" w:rsidRDefault="006C0BB3" w:rsidP="006C0BB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3CFE0BA" w14:textId="77777777" w:rsidR="006C0BB3" w:rsidRPr="006E6B8D" w:rsidRDefault="006C0BB3" w:rsidP="006C0BB3">
            <w:pPr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bCs/>
                <w:sz w:val="22"/>
                <w:szCs w:val="22"/>
              </w:rPr>
              <w:t>2: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 The DNA damage response to transcription stress Lans H, …, Marteijn </w:t>
            </w:r>
            <w:proofErr w:type="gramStart"/>
            <w:r w:rsidRPr="006E6B8D">
              <w:rPr>
                <w:rFonts w:ascii="Calibri" w:hAnsi="Calibri" w:cs="Calibri"/>
                <w:sz w:val="22"/>
                <w:szCs w:val="22"/>
              </w:rPr>
              <w:t>JA..</w:t>
            </w:r>
            <w:proofErr w:type="gramEnd"/>
            <w:r w:rsidRPr="006E6B8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E6B8D">
              <w:rPr>
                <w:rFonts w:ascii="Calibri" w:hAnsi="Calibri" w:cs="Calibri"/>
                <w:b/>
                <w:bCs/>
                <w:sz w:val="22"/>
                <w:szCs w:val="22"/>
              </w:rPr>
              <w:t>Nature Reviews Molecular Cell Biology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 (2019) </w:t>
            </w:r>
          </w:p>
          <w:p w14:paraId="58ECFF42" w14:textId="77777777" w:rsidR="006C0BB3" w:rsidRPr="006E6B8D" w:rsidRDefault="006C0BB3" w:rsidP="006C0BB3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7096FF4" w14:textId="77777777" w:rsidR="006C0BB3" w:rsidRPr="006E6B8D" w:rsidRDefault="006C0BB3" w:rsidP="006C0BB3">
            <w:pPr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bCs/>
                <w:sz w:val="22"/>
                <w:szCs w:val="22"/>
              </w:rPr>
              <w:t>3: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 The core spliceosome as target and effector of non-canonical ATM </w:t>
            </w:r>
            <w:proofErr w:type="spellStart"/>
            <w:r w:rsidRPr="006E6B8D">
              <w:rPr>
                <w:rFonts w:ascii="Calibri" w:hAnsi="Calibri" w:cs="Calibri"/>
                <w:sz w:val="22"/>
                <w:szCs w:val="22"/>
              </w:rPr>
              <w:t>signalling</w:t>
            </w:r>
            <w:proofErr w:type="spellEnd"/>
            <w:r w:rsidRPr="006E6B8D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018A979" w14:textId="77777777" w:rsidR="006C0BB3" w:rsidRPr="006E6B8D" w:rsidRDefault="006C0BB3" w:rsidP="006C0BB3">
            <w:pPr>
              <w:rPr>
                <w:rFonts w:ascii="Calibri" w:hAnsi="Calibri" w:cs="Calibri"/>
                <w:sz w:val="22"/>
                <w:szCs w:val="22"/>
                <w:lang w:val="nl-NL"/>
              </w:rPr>
            </w:pPr>
            <w:r w:rsidRPr="006E6B8D">
              <w:rPr>
                <w:rFonts w:ascii="Calibri" w:hAnsi="Calibri" w:cs="Calibri"/>
                <w:sz w:val="22"/>
                <w:szCs w:val="22"/>
                <w:lang w:val="nl-NL"/>
              </w:rPr>
              <w:t xml:space="preserve">Tresini M, …, Marteijn JA. </w:t>
            </w:r>
            <w:r w:rsidRPr="006E6B8D">
              <w:rPr>
                <w:rFonts w:ascii="Calibri" w:hAnsi="Calibri" w:cs="Calibri"/>
                <w:b/>
                <w:sz w:val="22"/>
                <w:szCs w:val="22"/>
                <w:lang w:val="nl-NL"/>
              </w:rPr>
              <w:t>Nature</w:t>
            </w:r>
            <w:r w:rsidRPr="006E6B8D">
              <w:rPr>
                <w:rFonts w:ascii="Calibri" w:hAnsi="Calibri" w:cs="Calibri"/>
                <w:sz w:val="22"/>
                <w:szCs w:val="22"/>
                <w:lang w:val="nl-NL"/>
              </w:rPr>
              <w:t xml:space="preserve"> (2015)</w:t>
            </w:r>
          </w:p>
          <w:p w14:paraId="2D2A6BE3" w14:textId="77777777" w:rsidR="006C0BB3" w:rsidRPr="006E6B8D" w:rsidRDefault="006C0BB3" w:rsidP="00971964">
            <w:pPr>
              <w:rPr>
                <w:rFonts w:ascii="Calibri" w:hAnsi="Calibri" w:cs="Calibri"/>
                <w:b/>
                <w:bCs/>
                <w:sz w:val="22"/>
                <w:szCs w:val="22"/>
                <w:lang w:val="nl-NL"/>
              </w:rPr>
            </w:pPr>
          </w:p>
          <w:p w14:paraId="4F79B0A4" w14:textId="77777777" w:rsidR="002A0877" w:rsidRPr="006E6B8D" w:rsidRDefault="006C0BB3" w:rsidP="00971964">
            <w:pPr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bCs/>
                <w:sz w:val="22"/>
                <w:szCs w:val="22"/>
              </w:rPr>
              <w:t>4: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0877" w:rsidRPr="006E6B8D">
              <w:rPr>
                <w:rFonts w:ascii="Calibri" w:hAnsi="Calibri" w:cs="Calibri"/>
                <w:sz w:val="22"/>
                <w:szCs w:val="22"/>
              </w:rPr>
              <w:t>Enhanced chromatin dynamics by FACT promotes transcriptional restart after UV-</w:t>
            </w:r>
            <w:r w:rsidR="00173F65" w:rsidRPr="006E6B8D">
              <w:rPr>
                <w:rFonts w:ascii="Calibri" w:hAnsi="Calibri" w:cs="Calibri"/>
                <w:sz w:val="22"/>
                <w:szCs w:val="22"/>
              </w:rPr>
              <w:t>damage</w:t>
            </w:r>
            <w:r w:rsidR="002A0877" w:rsidRPr="006E6B8D">
              <w:rPr>
                <w:rFonts w:ascii="Calibri" w:hAnsi="Calibri" w:cs="Calibri"/>
                <w:sz w:val="22"/>
                <w:szCs w:val="22"/>
              </w:rPr>
              <w:t>.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73F65" w:rsidRPr="006E6B8D">
              <w:rPr>
                <w:rFonts w:ascii="Calibri" w:hAnsi="Calibri" w:cs="Calibri"/>
                <w:sz w:val="22"/>
                <w:szCs w:val="22"/>
              </w:rPr>
              <w:t xml:space="preserve">Dinant C, …, Marteijn JA </w:t>
            </w:r>
            <w:r w:rsidR="00173F65" w:rsidRPr="006E6B8D">
              <w:rPr>
                <w:rFonts w:ascii="Calibri" w:hAnsi="Calibri" w:cs="Calibri"/>
                <w:b/>
                <w:sz w:val="22"/>
                <w:szCs w:val="22"/>
              </w:rPr>
              <w:t>Molecular Cell</w:t>
            </w:r>
            <w:r w:rsidR="00173F65" w:rsidRPr="006E6B8D">
              <w:rPr>
                <w:rFonts w:ascii="Calibri" w:hAnsi="Calibri" w:cs="Calibri"/>
                <w:sz w:val="22"/>
                <w:szCs w:val="22"/>
              </w:rPr>
              <w:t xml:space="preserve">, (2013).              </w:t>
            </w:r>
          </w:p>
          <w:p w14:paraId="0A7A60DE" w14:textId="77777777" w:rsidR="006C0BB3" w:rsidRPr="006E6B8D" w:rsidRDefault="006C0BB3" w:rsidP="0097196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3E2DD99" w14:textId="77777777" w:rsidR="00173F65" w:rsidRPr="006E6B8D" w:rsidRDefault="006C0BB3" w:rsidP="00971964">
            <w:pPr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bCs/>
                <w:sz w:val="22"/>
                <w:szCs w:val="22"/>
              </w:rPr>
              <w:t>5: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0877" w:rsidRPr="006E6B8D">
              <w:rPr>
                <w:rFonts w:ascii="Calibri" w:hAnsi="Calibri" w:cs="Calibri"/>
                <w:sz w:val="22"/>
                <w:szCs w:val="22"/>
              </w:rPr>
              <w:t xml:space="preserve">UV-sensitive syndrome protein UVSSA recruits USP7 to regulate TCR. </w:t>
            </w:r>
          </w:p>
          <w:p w14:paraId="015BEBDC" w14:textId="77777777" w:rsidR="002411AE" w:rsidRPr="006E6B8D" w:rsidRDefault="002A0877" w:rsidP="00971964">
            <w:pPr>
              <w:rPr>
                <w:rFonts w:ascii="Calibri" w:hAnsi="Calibri" w:cs="Calibri"/>
                <w:i/>
                <w:sz w:val="22"/>
                <w:szCs w:val="22"/>
              </w:rPr>
            </w:pPr>
            <w:proofErr w:type="spellStart"/>
            <w:r w:rsidRPr="006E6B8D">
              <w:rPr>
                <w:rFonts w:ascii="Calibri" w:hAnsi="Calibri" w:cs="Calibri"/>
                <w:sz w:val="22"/>
                <w:szCs w:val="22"/>
              </w:rPr>
              <w:t>Schwertman</w:t>
            </w:r>
            <w:proofErr w:type="spellEnd"/>
            <w:r w:rsidRPr="006E6B8D">
              <w:rPr>
                <w:rFonts w:ascii="Calibri" w:hAnsi="Calibri" w:cs="Calibri"/>
                <w:sz w:val="22"/>
                <w:szCs w:val="22"/>
              </w:rPr>
              <w:t xml:space="preserve"> P, </w:t>
            </w:r>
            <w:r w:rsidR="00971964" w:rsidRPr="006E6B8D">
              <w:rPr>
                <w:rFonts w:ascii="Calibri" w:hAnsi="Calibri" w:cs="Calibri"/>
                <w:sz w:val="22"/>
                <w:szCs w:val="22"/>
              </w:rPr>
              <w:t>…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, Marteijn JA. </w:t>
            </w:r>
            <w:r w:rsidRPr="006E6B8D">
              <w:rPr>
                <w:rFonts w:ascii="Calibri" w:hAnsi="Calibri" w:cs="Calibri"/>
                <w:b/>
                <w:sz w:val="22"/>
                <w:szCs w:val="22"/>
              </w:rPr>
              <w:t xml:space="preserve">Nature Genetics </w:t>
            </w:r>
            <w:r w:rsidRPr="006E6B8D">
              <w:rPr>
                <w:rFonts w:ascii="Calibri" w:hAnsi="Calibri" w:cs="Calibri"/>
                <w:sz w:val="22"/>
                <w:szCs w:val="22"/>
              </w:rPr>
              <w:t>(2012).</w:t>
            </w:r>
            <w:r w:rsidRPr="006E6B8D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  <w:tr w:rsidR="0058709E" w:rsidRPr="006E6B8D" w14:paraId="0C520672" w14:textId="77777777" w:rsidTr="006E6B8D">
        <w:trPr>
          <w:trHeight w:val="31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163A" w14:textId="77777777" w:rsidR="0058709E" w:rsidRPr="006E6B8D" w:rsidRDefault="0058709E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i/>
                <w:sz w:val="22"/>
                <w:szCs w:val="22"/>
              </w:rPr>
              <w:t>Project Title: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437EB" w14:textId="77777777" w:rsidR="0058709E" w:rsidRPr="006E6B8D" w:rsidRDefault="002A0877">
            <w:pPr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sz w:val="22"/>
                <w:szCs w:val="22"/>
              </w:rPr>
              <w:t>The molecular mechanism of DNA damage-induced aging</w:t>
            </w:r>
          </w:p>
        </w:tc>
      </w:tr>
      <w:tr w:rsidR="0058709E" w:rsidRPr="006E6B8D" w14:paraId="64924DA0" w14:textId="77777777" w:rsidTr="006E6B8D">
        <w:trPr>
          <w:trHeight w:val="299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DEF3F" w14:textId="77777777" w:rsidR="00C37797" w:rsidRPr="006E6B8D" w:rsidRDefault="00C37797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14:paraId="146027B2" w14:textId="77777777" w:rsidR="0058709E" w:rsidRPr="006E6B8D" w:rsidRDefault="0058709E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i/>
                <w:sz w:val="22"/>
                <w:szCs w:val="22"/>
              </w:rPr>
              <w:t>Abstract: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890B" w14:textId="77777777" w:rsidR="00C37797" w:rsidRPr="006E6B8D" w:rsidRDefault="00C37797" w:rsidP="00971964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6599395E" w14:textId="2A4EF72B" w:rsidR="0058709E" w:rsidRPr="006E6B8D" w:rsidRDefault="00971964" w:rsidP="00971964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Due to the improved life span, age related diseases and discomfort have become a major social and medical issue. It is thus highly relevant to understand the biological processes that could counteract this phenomenon. Accumulation of DNA damage is a major contributor of </w:t>
            </w:r>
            <w:r w:rsidR="006C0BB3" w:rsidRPr="006E6B8D">
              <w:rPr>
                <w:rFonts w:ascii="Calibri" w:hAnsi="Calibri" w:cs="Calibri"/>
                <w:sz w:val="22"/>
                <w:szCs w:val="22"/>
                <w:lang w:val="en-GB"/>
              </w:rPr>
              <w:t>age-related</w:t>
            </w:r>
            <w:r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diseases. DNA damage blocks </w:t>
            </w:r>
            <w:r w:rsidR="00E6402C" w:rsidRPr="006E6B8D">
              <w:rPr>
                <w:rFonts w:ascii="Calibri" w:hAnsi="Calibri" w:cs="Calibri"/>
                <w:sz w:val="22"/>
                <w:szCs w:val="22"/>
                <w:lang w:val="en-GB"/>
              </w:rPr>
              <w:t>the transcription process</w:t>
            </w:r>
            <w:r w:rsidR="00DC1318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, which is a crucial process for proper cell function. If the DNA damage that blocks transcription is not properly repaired it will result in </w:t>
            </w:r>
            <w:r w:rsidRPr="006E6B8D">
              <w:rPr>
                <w:rFonts w:ascii="Calibri" w:hAnsi="Calibri" w:cs="Calibri"/>
                <w:sz w:val="22"/>
                <w:szCs w:val="22"/>
                <w:lang w:val="en-GB"/>
              </w:rPr>
              <w:t>cellular dysfunction, apoptosis and senescence, finally resulting in DNA damage induced aging. Cells counteract these deleterious effects by transcription-coupled repair (TCR), which removes the</w:t>
            </w:r>
            <w:r w:rsidR="00EB7DA2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DNA damage thereby resolving the transcriptional block. The severe developmental problems and premature aging features of Cockayne syndrome patients - characterized by a hereditary TCR defect - underscore the importance of this </w:t>
            </w:r>
            <w:r w:rsidRPr="006E6B8D"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process</w:t>
            </w:r>
            <w:r w:rsidR="00E6402C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. Our lab </w:t>
            </w:r>
            <w:r w:rsidR="008774E5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is one of the world leading labs in the TCR </w:t>
            </w:r>
            <w:proofErr w:type="gramStart"/>
            <w:r w:rsidR="008774E5" w:rsidRPr="006E6B8D">
              <w:rPr>
                <w:rFonts w:ascii="Calibri" w:hAnsi="Calibri" w:cs="Calibri"/>
                <w:sz w:val="22"/>
                <w:szCs w:val="22"/>
                <w:lang w:val="en-GB"/>
              </w:rPr>
              <w:t>field, and</w:t>
            </w:r>
            <w:proofErr w:type="gramEnd"/>
            <w:r w:rsidR="008774E5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E6402C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has </w:t>
            </w:r>
            <w:r w:rsidR="008774E5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recently </w:t>
            </w:r>
            <w:r w:rsidR="00E6402C" w:rsidRPr="006E6B8D">
              <w:rPr>
                <w:rFonts w:ascii="Calibri" w:hAnsi="Calibri" w:cs="Calibri"/>
                <w:sz w:val="22"/>
                <w:szCs w:val="22"/>
                <w:lang w:val="en-GB"/>
              </w:rPr>
              <w:t>identified several new repair factors in this pathway including UVSSA and ELOF1</w:t>
            </w:r>
            <w:r w:rsidRPr="006E6B8D">
              <w:rPr>
                <w:rFonts w:ascii="Calibri" w:hAnsi="Calibri" w:cs="Calibri"/>
                <w:sz w:val="22"/>
                <w:szCs w:val="22"/>
                <w:lang w:val="en-GB"/>
              </w:rPr>
              <w:t>. Despite detailed knowledge on the TCR mechanism itself, surprisingly little is known about the last crucial step of TCR; how transcription restarts if the DNA damage is repaired. Using a multi-disciplinary approach of state-of-the-art live cell imaging and proteomic tools, the PhD student will study the molecular mechanism of transcription recovery after DNA repair. In addition, using unbiased CRISP/CAS9 based whole genome screen</w:t>
            </w:r>
            <w:r w:rsidR="00E6402C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 and advanced quantitative </w:t>
            </w:r>
            <w:r w:rsidR="008774E5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interaction </w:t>
            </w:r>
            <w:r w:rsidR="00E6402C" w:rsidRPr="006E6B8D">
              <w:rPr>
                <w:rFonts w:ascii="Calibri" w:hAnsi="Calibri" w:cs="Calibri"/>
                <w:sz w:val="22"/>
                <w:szCs w:val="22"/>
                <w:lang w:val="en-GB"/>
              </w:rPr>
              <w:t>proteomics</w:t>
            </w:r>
            <w:r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8774E5"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studies </w:t>
            </w:r>
            <w:r w:rsidRPr="006E6B8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we will identify novel proteins involved in this process. Together this will result in crucial new insights in TCR and will help to counteract the aging process. </w:t>
            </w:r>
          </w:p>
          <w:p w14:paraId="423ACB33" w14:textId="77777777" w:rsidR="00C37797" w:rsidRPr="006E6B8D" w:rsidRDefault="00C37797" w:rsidP="0097196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709E" w:rsidRPr="006E6B8D" w14:paraId="6E6447F1" w14:textId="77777777" w:rsidTr="006E6B8D">
        <w:trPr>
          <w:trHeight w:val="30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D4C1" w14:textId="77777777" w:rsidR="0058709E" w:rsidRPr="006E6B8D" w:rsidRDefault="0058709E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6E6B8D">
              <w:rPr>
                <w:rFonts w:ascii="Calibri" w:hAnsi="Calibri" w:cs="Calibri"/>
                <w:b/>
                <w:i/>
                <w:sz w:val="22"/>
                <w:szCs w:val="22"/>
              </w:rPr>
              <w:lastRenderedPageBreak/>
              <w:t>Requirements of candidate: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E3F3" w14:textId="0B0154EB" w:rsidR="00971964" w:rsidRPr="006E6B8D" w:rsidRDefault="00971964" w:rsidP="00C37797">
            <w:pPr>
              <w:numPr>
                <w:ilvl w:val="0"/>
                <w:numId w:val="5"/>
              </w:numPr>
              <w:ind w:left="202" w:hanging="20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sz w:val="22"/>
                <w:szCs w:val="22"/>
              </w:rPr>
              <w:t xml:space="preserve">The candidate should have a Master and </w:t>
            </w:r>
            <w:r w:rsidR="008774E5" w:rsidRPr="006E6B8D">
              <w:rPr>
                <w:rFonts w:ascii="Calibri" w:hAnsi="Calibri" w:cs="Calibri"/>
                <w:sz w:val="22"/>
                <w:szCs w:val="22"/>
              </w:rPr>
              <w:t>experience with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 molecular</w:t>
            </w:r>
            <w:r w:rsidR="008774E5" w:rsidRPr="006E6B8D">
              <w:rPr>
                <w:rFonts w:ascii="Calibri" w:hAnsi="Calibri" w:cs="Calibri"/>
                <w:sz w:val="22"/>
                <w:szCs w:val="22"/>
              </w:rPr>
              <w:t>/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cellular biology. </w:t>
            </w:r>
          </w:p>
          <w:p w14:paraId="5523DA6F" w14:textId="77777777" w:rsidR="00971964" w:rsidRPr="006E6B8D" w:rsidRDefault="00971964" w:rsidP="00C37797">
            <w:pPr>
              <w:numPr>
                <w:ilvl w:val="0"/>
                <w:numId w:val="5"/>
              </w:numPr>
              <w:ind w:left="202" w:hanging="20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sz w:val="22"/>
                <w:szCs w:val="22"/>
              </w:rPr>
              <w:t>Our lab offers the PhD candidate state-of-the-art equipment</w:t>
            </w:r>
            <w:r w:rsidR="00C37797" w:rsidRPr="006E6B8D">
              <w:rPr>
                <w:rFonts w:ascii="Calibri" w:hAnsi="Calibri" w:cs="Calibri"/>
                <w:sz w:val="22"/>
                <w:szCs w:val="22"/>
              </w:rPr>
              <w:t xml:space="preserve"> and expertise to address the scientific </w:t>
            </w:r>
            <w:r w:rsidRPr="006E6B8D">
              <w:rPr>
                <w:rFonts w:ascii="Calibri" w:hAnsi="Calibri" w:cs="Calibri"/>
                <w:sz w:val="22"/>
                <w:szCs w:val="22"/>
              </w:rPr>
              <w:t>questions</w:t>
            </w:r>
            <w:r w:rsidR="00C37797" w:rsidRPr="006E6B8D">
              <w:rPr>
                <w:rFonts w:ascii="Calibri" w:hAnsi="Calibri" w:cs="Calibri"/>
                <w:sz w:val="22"/>
                <w:szCs w:val="22"/>
              </w:rPr>
              <w:t xml:space="preserve"> stated above</w:t>
            </w:r>
            <w:r w:rsidRPr="006E6B8D">
              <w:rPr>
                <w:rFonts w:ascii="Calibri" w:hAnsi="Calibri" w:cs="Calibri"/>
                <w:sz w:val="22"/>
                <w:szCs w:val="22"/>
              </w:rPr>
              <w:t xml:space="preserve">. Our lab consists of a mix of both national and international PhD students and </w:t>
            </w:r>
            <w:proofErr w:type="gramStart"/>
            <w:r w:rsidRPr="006E6B8D">
              <w:rPr>
                <w:rFonts w:ascii="Calibri" w:hAnsi="Calibri" w:cs="Calibri"/>
                <w:sz w:val="22"/>
                <w:szCs w:val="22"/>
              </w:rPr>
              <w:t>Post-docs</w:t>
            </w:r>
            <w:proofErr w:type="gramEnd"/>
            <w:r w:rsidRPr="006E6B8D">
              <w:rPr>
                <w:rFonts w:ascii="Calibri" w:hAnsi="Calibri" w:cs="Calibri"/>
                <w:sz w:val="22"/>
                <w:szCs w:val="22"/>
              </w:rPr>
              <w:t xml:space="preserve"> and has an infrastructure that ensures intensive supervision during the PhD program.   </w:t>
            </w:r>
          </w:p>
          <w:p w14:paraId="5B7FC983" w14:textId="77777777" w:rsidR="006C589E" w:rsidRPr="006E6B8D" w:rsidRDefault="006C589E" w:rsidP="00C37797">
            <w:pPr>
              <w:numPr>
                <w:ilvl w:val="0"/>
                <w:numId w:val="1"/>
              </w:numPr>
              <w:ind w:left="202" w:hanging="202"/>
              <w:jc w:val="both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 xml:space="preserve">Scholarship that will, at least, cover subsistence allowance and international </w:t>
            </w:r>
            <w:proofErr w:type="gramStart"/>
            <w:r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>air plane</w:t>
            </w:r>
            <w:proofErr w:type="gramEnd"/>
            <w:r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 xml:space="preserve"> ticket (we could help with </w:t>
            </w:r>
            <w:r w:rsidR="006D1676"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 xml:space="preserve">the scientific part of </w:t>
            </w:r>
            <w:r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>your scholarship proposal)</w:t>
            </w:r>
          </w:p>
          <w:p w14:paraId="506283BA" w14:textId="77777777" w:rsidR="006C589E" w:rsidRPr="006E6B8D" w:rsidRDefault="002411AE" w:rsidP="00E6402C">
            <w:pPr>
              <w:numPr>
                <w:ilvl w:val="0"/>
                <w:numId w:val="1"/>
              </w:numPr>
              <w:ind w:left="202" w:hanging="20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 xml:space="preserve">English language </w:t>
            </w:r>
            <w:r w:rsidR="00083774"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>requirement</w:t>
            </w:r>
            <w:r w:rsidR="00EE35FD"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>:</w:t>
            </w:r>
            <w:r w:rsidR="00E6402C"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 xml:space="preserve"> </w:t>
            </w:r>
            <w:r w:rsidR="00EE35FD"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>IELTS 7.0</w:t>
            </w:r>
            <w:r w:rsidR="00EE35FD" w:rsidRPr="006E6B8D">
              <w:rPr>
                <w:rFonts w:ascii="Calibri" w:hAnsi="Calibri" w:cs="Calibri"/>
                <w:i/>
                <w:sz w:val="22"/>
                <w:szCs w:val="22"/>
                <w:highlight w:val="green"/>
              </w:rPr>
              <w:t>(min 6.0 for all subs)</w:t>
            </w:r>
            <w:r w:rsidR="00EE35FD" w:rsidRPr="006E6B8D">
              <w:rPr>
                <w:rFonts w:ascii="Calibri" w:hAnsi="Calibri" w:cs="Calibri"/>
                <w:sz w:val="22"/>
                <w:szCs w:val="22"/>
                <w:highlight w:val="green"/>
              </w:rPr>
              <w:t>, TOEFL 100</w:t>
            </w:r>
            <w:r w:rsidR="00C37797" w:rsidRPr="006E6B8D">
              <w:rPr>
                <w:rFonts w:ascii="Calibri" w:hAnsi="Calibri" w:cs="Calibri"/>
                <w:i/>
                <w:sz w:val="22"/>
                <w:szCs w:val="22"/>
                <w:highlight w:val="green"/>
              </w:rPr>
              <w:t xml:space="preserve">(min 20 for all </w:t>
            </w:r>
            <w:r w:rsidR="00EE35FD" w:rsidRPr="006E6B8D">
              <w:rPr>
                <w:rFonts w:ascii="Calibri" w:hAnsi="Calibri" w:cs="Calibri"/>
                <w:i/>
                <w:sz w:val="22"/>
                <w:szCs w:val="22"/>
                <w:highlight w:val="green"/>
              </w:rPr>
              <w:t>subs)</w:t>
            </w:r>
            <w:r w:rsidR="00083774" w:rsidRPr="006E6B8D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</w:tr>
    </w:tbl>
    <w:p w14:paraId="1828CC6F" w14:textId="71F1F20C" w:rsidR="002411AE" w:rsidRDefault="002411AE" w:rsidP="00F54985">
      <w:pPr>
        <w:rPr>
          <w:rFonts w:ascii="Arial" w:hAnsi="Arial" w:cs="Arial"/>
          <w:sz w:val="16"/>
          <w:szCs w:val="16"/>
        </w:rPr>
      </w:pPr>
    </w:p>
    <w:p w14:paraId="69DFA9F9" w14:textId="448899C9" w:rsidR="00AC77E7" w:rsidRDefault="00AC77E7" w:rsidP="00F54985">
      <w:pPr>
        <w:rPr>
          <w:rFonts w:ascii="Arial" w:hAnsi="Arial" w:cs="Arial"/>
          <w:sz w:val="16"/>
          <w:szCs w:val="16"/>
        </w:rPr>
      </w:pPr>
    </w:p>
    <w:p w14:paraId="2B0E143D" w14:textId="77777777" w:rsidR="00AC77E7" w:rsidRDefault="00AC77E7" w:rsidP="00AC77E7">
      <w:pPr>
        <w:rPr>
          <w:rFonts w:ascii="Arial" w:hAnsi="Arial" w:cs="Arial"/>
          <w:sz w:val="18"/>
          <w:szCs w:val="18"/>
        </w:rPr>
      </w:pPr>
    </w:p>
    <w:p w14:paraId="562B4479" w14:textId="77777777" w:rsidR="00AC77E7" w:rsidRPr="000439FC" w:rsidRDefault="00AC77E7" w:rsidP="00AC77E7">
      <w:pPr>
        <w:rPr>
          <w:rFonts w:ascii="Calibri" w:hAnsi="Calibri" w:cs="Calibri"/>
          <w:b/>
          <w:iCs/>
          <w:sz w:val="20"/>
          <w:szCs w:val="20"/>
        </w:rPr>
      </w:pPr>
      <w:bookmarkStart w:id="0" w:name="_Hlk84621795"/>
      <w:r w:rsidRPr="000439FC">
        <w:rPr>
          <w:rFonts w:ascii="Calibri" w:hAnsi="Calibri" w:cs="Calibri"/>
          <w:b/>
          <w:iCs/>
          <w:sz w:val="20"/>
          <w:szCs w:val="20"/>
        </w:rPr>
        <w:t>English requirements</w:t>
      </w:r>
      <w:r w:rsidRPr="000439FC">
        <w:rPr>
          <w:rFonts w:ascii="Calibri" w:hAnsi="Calibri" w:cs="Calibri"/>
          <w:b/>
          <w:iCs/>
          <w:sz w:val="20"/>
          <w:szCs w:val="20"/>
        </w:rPr>
        <w:t>：</w:t>
      </w:r>
    </w:p>
    <w:p w14:paraId="54EEA767" w14:textId="77777777" w:rsidR="00AC77E7" w:rsidRPr="000439FC" w:rsidRDefault="00AC77E7" w:rsidP="00AC77E7">
      <w:pPr>
        <w:rPr>
          <w:rFonts w:ascii="Calibri" w:hAnsi="Calibri" w:cs="Calibri"/>
          <w:bCs/>
          <w:sz w:val="20"/>
          <w:szCs w:val="20"/>
        </w:rPr>
      </w:pPr>
      <w:r w:rsidRPr="000439FC">
        <w:rPr>
          <w:rFonts w:ascii="Calibri" w:hAnsi="Calibri" w:cs="Calibri"/>
          <w:b/>
          <w:iCs/>
          <w:sz w:val="20"/>
          <w:szCs w:val="20"/>
        </w:rPr>
        <w:t>P</w:t>
      </w:r>
      <w:r w:rsidRPr="000439FC">
        <w:rPr>
          <w:rFonts w:ascii="Calibri" w:hAnsi="Calibri" w:cs="Calibri"/>
          <w:b/>
          <w:iCs/>
          <w:sz w:val="20"/>
          <w:szCs w:val="20"/>
          <w:lang w:eastAsia="zh-Hans"/>
        </w:rPr>
        <w:t>lease refer to Erasmus University China Center official website for your information</w:t>
      </w:r>
      <w:r w:rsidRPr="000439FC">
        <w:rPr>
          <w:rFonts w:ascii="Calibri" w:hAnsi="Calibri" w:cs="Calibri"/>
          <w:bCs/>
          <w:iCs/>
          <w:sz w:val="20"/>
          <w:szCs w:val="20"/>
          <w:lang w:eastAsia="zh-Hans"/>
        </w:rPr>
        <w:t xml:space="preserve"> </w:t>
      </w:r>
      <w:hyperlink r:id="rId10" w:history="1"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www.eur</w:t>
        </w:r>
        <w:bookmarkStart w:id="1" w:name="_Hlt44665315"/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.</w:t>
        </w:r>
        <w:bookmarkEnd w:id="1"/>
        <w:r w:rsidRPr="000439FC">
          <w:rPr>
            <w:rStyle w:val="a4"/>
            <w:rFonts w:ascii="Calibri" w:hAnsi="Calibri" w:cs="Calibri"/>
            <w:bCs/>
            <w:sz w:val="20"/>
            <w:szCs w:val="20"/>
          </w:rPr>
          <w:t>nl/eucc</w:t>
        </w:r>
      </w:hyperlink>
    </w:p>
    <w:p w14:paraId="62990544" w14:textId="77777777" w:rsidR="00AC77E7" w:rsidRPr="000439FC" w:rsidRDefault="00AC77E7" w:rsidP="00AC77E7">
      <w:pPr>
        <w:rPr>
          <w:rFonts w:ascii="Calibri" w:hAnsi="Calibri" w:cs="Calibri"/>
          <w:bCs/>
          <w:i/>
          <w:sz w:val="20"/>
          <w:szCs w:val="20"/>
          <w:lang w:eastAsia="zh-Hans"/>
        </w:rPr>
      </w:pPr>
      <w:r w:rsidRPr="000439FC">
        <w:rPr>
          <w:rFonts w:ascii="Calibri" w:hAnsi="Calibri" w:cs="Calibri"/>
          <w:bCs/>
          <w:i/>
          <w:sz w:val="20"/>
          <w:szCs w:val="20"/>
        </w:rPr>
        <w:t>E</w:t>
      </w:r>
      <w:r w:rsidRPr="000439FC">
        <w:rPr>
          <w:rFonts w:ascii="Calibri" w:hAnsi="Calibri" w:cs="Calibri"/>
          <w:bCs/>
          <w:i/>
          <w:sz w:val="20"/>
          <w:szCs w:val="20"/>
          <w:lang w:eastAsia="zh-Hans"/>
        </w:rPr>
        <w:t>rasmus University China Center -&gt; CSC Scholarship -&gt; “I am a prospective CSC PhD Candidate” -&gt; Table 1</w:t>
      </w:r>
    </w:p>
    <w:p w14:paraId="236BDC4B" w14:textId="77777777" w:rsidR="00AC77E7" w:rsidRPr="000439FC" w:rsidRDefault="00AC77E7" w:rsidP="00AC77E7">
      <w:pPr>
        <w:rPr>
          <w:rFonts w:ascii="Calibri" w:hAnsi="Calibri" w:cs="Calibri"/>
          <w:bCs/>
          <w:i/>
          <w:sz w:val="20"/>
          <w:szCs w:val="20"/>
          <w:lang w:eastAsia="zh-Hans"/>
        </w:rPr>
      </w:pPr>
    </w:p>
    <w:p w14:paraId="7BEEF3DF" w14:textId="77777777" w:rsidR="00AC77E7" w:rsidRPr="000439FC" w:rsidRDefault="00AC77E7" w:rsidP="00AC77E7">
      <w:pPr>
        <w:rPr>
          <w:rFonts w:ascii="Calibri" w:hAnsi="Calibri" w:cs="Calibri"/>
          <w:sz w:val="20"/>
          <w:szCs w:val="20"/>
          <w:lang w:eastAsia="zh-Hans"/>
        </w:rPr>
      </w:pPr>
      <w:r w:rsidRPr="000439FC">
        <w:rPr>
          <w:rFonts w:ascii="Calibri" w:hAnsi="Calibri" w:cs="Calibri"/>
          <w:sz w:val="20"/>
          <w:szCs w:val="20"/>
        </w:rPr>
        <w:t>P</w:t>
      </w:r>
      <w:r w:rsidRPr="000439FC">
        <w:rPr>
          <w:rFonts w:ascii="Calibri" w:hAnsi="Calibri" w:cs="Calibri"/>
          <w:sz w:val="20"/>
          <w:szCs w:val="20"/>
          <w:lang w:eastAsia="zh-Hans"/>
        </w:rPr>
        <w:t xml:space="preserve">lease note: </w:t>
      </w:r>
    </w:p>
    <w:p w14:paraId="190EAEEB" w14:textId="77777777" w:rsidR="00AC77E7" w:rsidRPr="000439FC" w:rsidRDefault="00AC77E7" w:rsidP="00AC77E7">
      <w:pPr>
        <w:rPr>
          <w:rFonts w:ascii="Calibri" w:hAnsi="Calibri" w:cs="Calibri"/>
          <w:sz w:val="20"/>
          <w:szCs w:val="20"/>
        </w:rPr>
      </w:pPr>
      <w:r w:rsidRPr="000439FC">
        <w:rPr>
          <w:rFonts w:ascii="Calibri" w:hAnsi="Calibri" w:cs="Calibri"/>
          <w:sz w:val="20"/>
          <w:szCs w:val="20"/>
          <w:lang w:eastAsia="zh-Hans"/>
        </w:rPr>
        <w:t xml:space="preserve">Each institute requires difference level of English, make sure to find the right institute. </w:t>
      </w:r>
      <w:r w:rsidRPr="000439FC">
        <w:rPr>
          <w:rFonts w:ascii="Calibri" w:hAnsi="Calibri" w:cs="Calibri"/>
          <w:sz w:val="20"/>
          <w:szCs w:val="20"/>
        </w:rPr>
        <w:t xml:space="preserve">2022 CSC-PhD </w:t>
      </w:r>
      <w:proofErr w:type="spellStart"/>
      <w:r w:rsidRPr="000439FC">
        <w:rPr>
          <w:rFonts w:ascii="Calibri" w:hAnsi="Calibri" w:cs="Calibri"/>
          <w:sz w:val="20"/>
          <w:szCs w:val="20"/>
        </w:rPr>
        <w:t>programme</w:t>
      </w:r>
      <w:proofErr w:type="spellEnd"/>
      <w:r w:rsidRPr="000439FC">
        <w:rPr>
          <w:rFonts w:ascii="Calibri" w:hAnsi="Calibri" w:cs="Calibri"/>
          <w:sz w:val="20"/>
          <w:szCs w:val="20"/>
        </w:rPr>
        <w:t xml:space="preserve"> information will be shared and updated </w:t>
      </w:r>
      <w:r w:rsidRPr="000439FC">
        <w:rPr>
          <w:rFonts w:ascii="Calibri" w:hAnsi="Calibri" w:cs="Calibri"/>
          <w:sz w:val="20"/>
          <w:szCs w:val="20"/>
          <w:lang w:eastAsia="zh-Hans"/>
        </w:rPr>
        <w:t>soon!</w:t>
      </w:r>
    </w:p>
    <w:bookmarkEnd w:id="0"/>
    <w:p w14:paraId="4780962D" w14:textId="77777777" w:rsidR="00AC77E7" w:rsidRPr="00AC77E7" w:rsidRDefault="00AC77E7" w:rsidP="00F54985">
      <w:pPr>
        <w:rPr>
          <w:rFonts w:ascii="Arial" w:hAnsi="Arial" w:cs="Arial" w:hint="eastAsia"/>
          <w:sz w:val="16"/>
          <w:szCs w:val="16"/>
        </w:rPr>
      </w:pPr>
    </w:p>
    <w:sectPr w:rsidR="00AC77E7" w:rsidRPr="00AC77E7" w:rsidSect="00110A4C">
      <w:headerReference w:type="default" r:id="rId11"/>
      <w:pgSz w:w="12240" w:h="15840"/>
      <w:pgMar w:top="1417" w:right="104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4C20B" w14:textId="77777777" w:rsidR="003E40B2" w:rsidRDefault="003E40B2" w:rsidP="00661390">
      <w:r>
        <w:separator/>
      </w:r>
    </w:p>
  </w:endnote>
  <w:endnote w:type="continuationSeparator" w:id="0">
    <w:p w14:paraId="435BD4BD" w14:textId="77777777" w:rsidR="003E40B2" w:rsidRDefault="003E40B2" w:rsidP="00661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BB374" w14:textId="77777777" w:rsidR="003E40B2" w:rsidRDefault="003E40B2" w:rsidP="00661390">
      <w:r>
        <w:separator/>
      </w:r>
    </w:p>
  </w:footnote>
  <w:footnote w:type="continuationSeparator" w:id="0">
    <w:p w14:paraId="11D767C4" w14:textId="77777777" w:rsidR="003E40B2" w:rsidRDefault="003E40B2" w:rsidP="00661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F389B" w14:textId="0B2103F9" w:rsidR="00AC77E7" w:rsidRDefault="00AC77E7" w:rsidP="00AC77E7">
    <w:pPr>
      <w:pStyle w:val="1"/>
      <w:jc w:val="right"/>
    </w:pPr>
    <w:r>
      <w:rPr>
        <w:noProof/>
      </w:rPr>
      <w:drawing>
        <wp:inline distT="0" distB="0" distL="0" distR="0" wp14:anchorId="654C02AB" wp14:editId="220DEBEF">
          <wp:extent cx="1581150" cy="374650"/>
          <wp:effectExtent l="0" t="0" r="0" b="6350"/>
          <wp:docPr id="1" name="图片 1" descr="文本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本&#10;&#10;描述已自动生成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FB6E05" w14:textId="77777777" w:rsidR="00AC77E7" w:rsidRPr="00C26805" w:rsidRDefault="00AC77E7" w:rsidP="00AC77E7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Erasmus University Rotterdam, the Netherlands</w:t>
    </w:r>
  </w:p>
  <w:p w14:paraId="12B89C3F" w14:textId="77777777" w:rsidR="00AC77E7" w:rsidRPr="00C26805" w:rsidRDefault="00AC77E7" w:rsidP="00AC77E7">
    <w:pPr>
      <w:pStyle w:val="1"/>
      <w:tabs>
        <w:tab w:val="left" w:pos="4536"/>
      </w:tabs>
      <w:spacing w:before="0" w:after="0"/>
      <w:rPr>
        <w:color w:val="00565B"/>
        <w:sz w:val="20"/>
        <w:szCs w:val="20"/>
      </w:rPr>
    </w:pPr>
    <w:r w:rsidRPr="00C26805">
      <w:rPr>
        <w:color w:val="00565B"/>
        <w:sz w:val="20"/>
        <w:szCs w:val="20"/>
      </w:rPr>
      <w:t>CSC PhD 2022 Project Description</w:t>
    </w:r>
  </w:p>
  <w:p w14:paraId="4F4EDBFA" w14:textId="77777777" w:rsidR="00AC77E7" w:rsidRPr="00C26805" w:rsidRDefault="00AC77E7" w:rsidP="00AC77E7">
    <w:pPr>
      <w:pStyle w:val="1"/>
      <w:tabs>
        <w:tab w:val="left" w:pos="4536"/>
      </w:tabs>
      <w:spacing w:before="0" w:after="0"/>
      <w:rPr>
        <w:color w:val="00565B"/>
        <w:sz w:val="20"/>
        <w:szCs w:val="20"/>
        <w:u w:val="single"/>
        <w:lang w:val="en-GB"/>
      </w:rPr>
    </w:pPr>
    <w:r w:rsidRPr="00C26805">
      <w:rPr>
        <w:color w:val="00565B"/>
        <w:sz w:val="20"/>
        <w:szCs w:val="20"/>
      </w:rPr>
      <w:t>A</w:t>
    </w:r>
    <w:r w:rsidRPr="00C26805">
      <w:rPr>
        <w:rFonts w:hint="eastAsia"/>
        <w:color w:val="00565B"/>
        <w:sz w:val="20"/>
        <w:szCs w:val="20"/>
      </w:rPr>
      <w:t>pplication</w:t>
    </w:r>
    <w:r w:rsidRPr="00C26805">
      <w:rPr>
        <w:color w:val="00565B"/>
        <w:sz w:val="20"/>
        <w:szCs w:val="20"/>
      </w:rPr>
      <w:t xml:space="preserve"> to: </w:t>
    </w:r>
    <w:hyperlink r:id="rId2" w:history="1">
      <w:r w:rsidRPr="00695FBB">
        <w:rPr>
          <w:rStyle w:val="a4"/>
          <w:sz w:val="20"/>
          <w:szCs w:val="20"/>
          <w:lang w:eastAsia="zh-Hans"/>
        </w:rPr>
        <w:t>E</w:t>
      </w:r>
      <w:r w:rsidRPr="00695FBB">
        <w:rPr>
          <w:rStyle w:val="a4"/>
          <w:sz w:val="20"/>
          <w:szCs w:val="20"/>
          <w:lang w:val="en-GB"/>
        </w:rPr>
        <w:t>ucc</w:t>
      </w:r>
      <w:r w:rsidRPr="00695FBB">
        <w:rPr>
          <w:rStyle w:val="a4"/>
          <w:sz w:val="20"/>
          <w:szCs w:val="20"/>
          <w:lang w:eastAsia="zh-Hans"/>
        </w:rPr>
        <w:t>C</w:t>
      </w:r>
      <w:r w:rsidRPr="00695FBB">
        <w:rPr>
          <w:rStyle w:val="a4"/>
          <w:rFonts w:hint="eastAsia"/>
          <w:sz w:val="20"/>
          <w:szCs w:val="20"/>
          <w:lang w:eastAsia="zh-Hans"/>
        </w:rPr>
        <w:t>hina</w:t>
      </w:r>
      <w:r w:rsidRPr="00695FBB">
        <w:rPr>
          <w:rStyle w:val="a4"/>
          <w:sz w:val="20"/>
          <w:szCs w:val="20"/>
          <w:lang w:eastAsia="zh-Hans"/>
        </w:rPr>
        <w:t>O</w:t>
      </w:r>
      <w:r w:rsidRPr="00695FBB">
        <w:rPr>
          <w:rStyle w:val="a4"/>
          <w:rFonts w:hint="eastAsia"/>
          <w:sz w:val="20"/>
          <w:szCs w:val="20"/>
          <w:lang w:eastAsia="zh-Hans"/>
        </w:rPr>
        <w:t>ffice</w:t>
      </w:r>
      <w:r w:rsidRPr="00695FBB">
        <w:rPr>
          <w:rStyle w:val="a4"/>
          <w:sz w:val="20"/>
          <w:szCs w:val="20"/>
          <w:lang w:val="en-GB"/>
        </w:rPr>
        <w:t>@eur.nl</w:t>
      </w:r>
    </w:hyperlink>
    <w:r w:rsidRPr="00C26805">
      <w:rPr>
        <w:color w:val="00565B"/>
        <w:sz w:val="20"/>
        <w:szCs w:val="20"/>
        <w:lang w:eastAsia="zh-Hans"/>
      </w:rPr>
      <w:t xml:space="preserve"> (d</w:t>
    </w:r>
    <w:r w:rsidRPr="00C26805">
      <w:rPr>
        <w:rFonts w:hint="eastAsia"/>
        <w:color w:val="00565B"/>
        <w:sz w:val="20"/>
        <w:szCs w:val="20"/>
        <w:lang w:eastAsia="zh-Hans"/>
      </w:rPr>
      <w:t>eadline</w:t>
    </w:r>
    <w:r w:rsidRPr="00C26805">
      <w:rPr>
        <w:color w:val="00565B"/>
        <w:sz w:val="20"/>
        <w:szCs w:val="20"/>
        <w:lang w:eastAsia="zh-Hans"/>
      </w:rPr>
      <w:t>: Friday Mar 4, 2022)</w:t>
    </w:r>
  </w:p>
  <w:p w14:paraId="1F59DD6A" w14:textId="77777777" w:rsidR="00AC77E7" w:rsidRDefault="00AC77E7" w:rsidP="00AC77E7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kern w:val="0"/>
        <w:sz w:val="24"/>
        <w:szCs w:val="24"/>
        <w:lang w:eastAsia="en-GB"/>
      </w:rPr>
    </w:pPr>
  </w:p>
  <w:p w14:paraId="558FEBF2" w14:textId="77777777" w:rsidR="00AC77E7" w:rsidRDefault="00AC77E7" w:rsidP="00AC77E7">
    <w:pPr>
      <w:pStyle w:val="1"/>
      <w:tabs>
        <w:tab w:val="left" w:pos="4536"/>
      </w:tabs>
      <w:spacing w:before="0" w:after="0"/>
      <w:ind w:left="-284"/>
      <w:jc w:val="center"/>
      <w:rPr>
        <w:rFonts w:ascii="Calibri" w:hAnsi="Calibri" w:cs="Times New Roman"/>
        <w:b w:val="0"/>
        <w:bCs w:val="0"/>
        <w:color w:val="0000FF"/>
        <w:kern w:val="0"/>
        <w:sz w:val="24"/>
        <w:szCs w:val="24"/>
        <w:u w:val="single"/>
        <w:lang w:val="en-GB" w:eastAsia="en-GB"/>
      </w:rPr>
    </w:pPr>
    <w:r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EMC </w:t>
    </w:r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Ranked world no 14-36 for </w:t>
    </w:r>
    <w:hyperlink r:id="rId3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Clinical Fields US News 2021</w:t>
      </w:r>
    </w:hyperlink>
    <w:r w:rsidRPr="00DD5119">
      <w:rPr>
        <w:rFonts w:ascii="Calibri" w:hAnsi="Calibri" w:cs="Times New Roman"/>
        <w:b w:val="0"/>
        <w:bCs w:val="0"/>
        <w:kern w:val="0"/>
        <w:sz w:val="24"/>
        <w:szCs w:val="24"/>
        <w:lang w:val="en-GB" w:eastAsia="en-GB"/>
      </w:rPr>
      <w:t xml:space="preserve">, no 30 </w:t>
    </w:r>
    <w:hyperlink r:id="rId4" w:history="1">
      <w:r w:rsidRPr="00DD5119">
        <w:rPr>
          <w:rFonts w:ascii="Calibri" w:hAnsi="Calibri" w:cs="Times New Roman"/>
          <w:b w:val="0"/>
          <w:bCs w:val="0"/>
          <w:color w:val="0000FF"/>
          <w:kern w:val="0"/>
          <w:sz w:val="24"/>
          <w:szCs w:val="24"/>
          <w:u w:val="single"/>
          <w:lang w:val="en-GB" w:eastAsia="en-GB"/>
        </w:rPr>
        <w:t>Nature Index for Biomedical Sciences 2019</w:t>
      </w:r>
    </w:hyperlink>
  </w:p>
  <w:p w14:paraId="0D5B84D9" w14:textId="77777777" w:rsidR="00AC77E7" w:rsidRDefault="00AC77E7" w:rsidP="00AC77E7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40"/>
        <w:szCs w:val="40"/>
      </w:rPr>
    </w:pPr>
  </w:p>
  <w:p w14:paraId="0B043BD2" w14:textId="77777777" w:rsidR="00AC77E7" w:rsidRDefault="00AC77E7" w:rsidP="00AC77E7">
    <w:pPr>
      <w:pStyle w:val="1"/>
      <w:tabs>
        <w:tab w:val="left" w:pos="4536"/>
      </w:tabs>
      <w:spacing w:before="0" w:after="0"/>
      <w:ind w:left="-284"/>
      <w:jc w:val="center"/>
      <w:rPr>
        <w:color w:val="0C2074"/>
        <w:sz w:val="30"/>
        <w:szCs w:val="30"/>
      </w:rPr>
    </w:pPr>
    <w:r w:rsidRPr="00C26805">
      <w:rPr>
        <w:color w:val="0C2074"/>
        <w:sz w:val="30"/>
        <w:szCs w:val="30"/>
      </w:rPr>
      <w:t>PhD Project Description</w:t>
    </w:r>
  </w:p>
  <w:p w14:paraId="471CBAC9" w14:textId="77777777" w:rsidR="00F92F86" w:rsidRPr="00F54985" w:rsidRDefault="00F92F86" w:rsidP="00661390">
    <w:pPr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D2E9F"/>
    <w:multiLevelType w:val="hybridMultilevel"/>
    <w:tmpl w:val="9DF08F9C"/>
    <w:lvl w:ilvl="0" w:tplc="0409000F">
      <w:start w:val="1"/>
      <w:numFmt w:val="decimal"/>
      <w:lvlText w:val="%1."/>
      <w:lvlJc w:val="left"/>
      <w:pPr>
        <w:ind w:left="846" w:hanging="360"/>
      </w:p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" w15:restartNumberingAfterBreak="0">
    <w:nsid w:val="151F6F7C"/>
    <w:multiLevelType w:val="hybridMultilevel"/>
    <w:tmpl w:val="80F47B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60519"/>
    <w:multiLevelType w:val="hybridMultilevel"/>
    <w:tmpl w:val="697C5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F568AF"/>
    <w:multiLevelType w:val="hybridMultilevel"/>
    <w:tmpl w:val="BCC0B5B8"/>
    <w:lvl w:ilvl="0" w:tplc="7A989D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533C9A"/>
    <w:multiLevelType w:val="hybridMultilevel"/>
    <w:tmpl w:val="1BA4E2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615BB"/>
    <w:multiLevelType w:val="hybridMultilevel"/>
    <w:tmpl w:val="E76CB098"/>
    <w:lvl w:ilvl="0" w:tplc="0409000D">
      <w:start w:val="1"/>
      <w:numFmt w:val="bullet"/>
      <w:lvlText w:val=""/>
      <w:lvlJc w:val="left"/>
      <w:pPr>
        <w:ind w:left="84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66" w:hanging="360"/>
      </w:pPr>
    </w:lvl>
    <w:lvl w:ilvl="2" w:tplc="0409001B" w:tentative="1">
      <w:start w:val="1"/>
      <w:numFmt w:val="lowerRoman"/>
      <w:lvlText w:val="%3."/>
      <w:lvlJc w:val="right"/>
      <w:pPr>
        <w:ind w:left="2286" w:hanging="180"/>
      </w:pPr>
    </w:lvl>
    <w:lvl w:ilvl="3" w:tplc="0409000F" w:tentative="1">
      <w:start w:val="1"/>
      <w:numFmt w:val="decimal"/>
      <w:lvlText w:val="%4."/>
      <w:lvlJc w:val="left"/>
      <w:pPr>
        <w:ind w:left="3006" w:hanging="360"/>
      </w:pPr>
    </w:lvl>
    <w:lvl w:ilvl="4" w:tplc="04090019" w:tentative="1">
      <w:start w:val="1"/>
      <w:numFmt w:val="lowerLetter"/>
      <w:lvlText w:val="%5."/>
      <w:lvlJc w:val="left"/>
      <w:pPr>
        <w:ind w:left="3726" w:hanging="360"/>
      </w:pPr>
    </w:lvl>
    <w:lvl w:ilvl="5" w:tplc="0409001B" w:tentative="1">
      <w:start w:val="1"/>
      <w:numFmt w:val="lowerRoman"/>
      <w:lvlText w:val="%6."/>
      <w:lvlJc w:val="right"/>
      <w:pPr>
        <w:ind w:left="4446" w:hanging="180"/>
      </w:pPr>
    </w:lvl>
    <w:lvl w:ilvl="6" w:tplc="0409000F" w:tentative="1">
      <w:start w:val="1"/>
      <w:numFmt w:val="decimal"/>
      <w:lvlText w:val="%7."/>
      <w:lvlJc w:val="left"/>
      <w:pPr>
        <w:ind w:left="5166" w:hanging="360"/>
      </w:pPr>
    </w:lvl>
    <w:lvl w:ilvl="7" w:tplc="04090019" w:tentative="1">
      <w:start w:val="1"/>
      <w:numFmt w:val="lowerLetter"/>
      <w:lvlText w:val="%8."/>
      <w:lvlJc w:val="left"/>
      <w:pPr>
        <w:ind w:left="5886" w:hanging="360"/>
      </w:pPr>
    </w:lvl>
    <w:lvl w:ilvl="8" w:tplc="040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6" w15:restartNumberingAfterBreak="0">
    <w:nsid w:val="65E84D62"/>
    <w:multiLevelType w:val="hybridMultilevel"/>
    <w:tmpl w:val="C30C5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D1360F"/>
    <w:multiLevelType w:val="hybridMultilevel"/>
    <w:tmpl w:val="7CAAE672"/>
    <w:lvl w:ilvl="0" w:tplc="200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F6F490C"/>
    <w:multiLevelType w:val="hybridMultilevel"/>
    <w:tmpl w:val="0D18CA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2F79FE"/>
    <w:multiLevelType w:val="hybridMultilevel"/>
    <w:tmpl w:val="A54C03E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429238BA">
      <w:numFmt w:val="bullet"/>
      <w:lvlText w:val=""/>
      <w:lvlJc w:val="left"/>
      <w:pPr>
        <w:ind w:left="1440" w:hanging="360"/>
      </w:pPr>
      <w:rPr>
        <w:rFonts w:ascii="Wingdings" w:eastAsia="宋体" w:hAnsi="Wingdings" w:cs="Arial"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D5749"/>
    <w:multiLevelType w:val="hybridMultilevel"/>
    <w:tmpl w:val="89167B1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AD3"/>
    <w:rsid w:val="00013C78"/>
    <w:rsid w:val="000278A5"/>
    <w:rsid w:val="00027D94"/>
    <w:rsid w:val="000309E6"/>
    <w:rsid w:val="00062F8E"/>
    <w:rsid w:val="00083774"/>
    <w:rsid w:val="000C22B4"/>
    <w:rsid w:val="000D6CC6"/>
    <w:rsid w:val="000F3EC8"/>
    <w:rsid w:val="00102A80"/>
    <w:rsid w:val="00110A4C"/>
    <w:rsid w:val="00125B05"/>
    <w:rsid w:val="00125C4C"/>
    <w:rsid w:val="00173F65"/>
    <w:rsid w:val="001A3FA2"/>
    <w:rsid w:val="001B4160"/>
    <w:rsid w:val="001E10BD"/>
    <w:rsid w:val="001E4710"/>
    <w:rsid w:val="00220748"/>
    <w:rsid w:val="00233FCD"/>
    <w:rsid w:val="002411AE"/>
    <w:rsid w:val="00244149"/>
    <w:rsid w:val="002506C4"/>
    <w:rsid w:val="00255725"/>
    <w:rsid w:val="002A0877"/>
    <w:rsid w:val="002E05FC"/>
    <w:rsid w:val="00346A04"/>
    <w:rsid w:val="00365621"/>
    <w:rsid w:val="003831B7"/>
    <w:rsid w:val="00387752"/>
    <w:rsid w:val="00393537"/>
    <w:rsid w:val="003A0F12"/>
    <w:rsid w:val="003B2AD3"/>
    <w:rsid w:val="003C315F"/>
    <w:rsid w:val="003E40B2"/>
    <w:rsid w:val="004600C5"/>
    <w:rsid w:val="004653AE"/>
    <w:rsid w:val="00504427"/>
    <w:rsid w:val="00505104"/>
    <w:rsid w:val="00506B81"/>
    <w:rsid w:val="00562702"/>
    <w:rsid w:val="005656B4"/>
    <w:rsid w:val="0058709E"/>
    <w:rsid w:val="00593D20"/>
    <w:rsid w:val="00595CA9"/>
    <w:rsid w:val="005B2190"/>
    <w:rsid w:val="005C06EA"/>
    <w:rsid w:val="005D07F9"/>
    <w:rsid w:val="0061207E"/>
    <w:rsid w:val="00616B55"/>
    <w:rsid w:val="006245F4"/>
    <w:rsid w:val="00641114"/>
    <w:rsid w:val="00661390"/>
    <w:rsid w:val="006C0BB3"/>
    <w:rsid w:val="006C4469"/>
    <w:rsid w:val="006C589E"/>
    <w:rsid w:val="006D1676"/>
    <w:rsid w:val="006E6B8D"/>
    <w:rsid w:val="006F4D1C"/>
    <w:rsid w:val="007055AD"/>
    <w:rsid w:val="00745D45"/>
    <w:rsid w:val="0078542B"/>
    <w:rsid w:val="007947EA"/>
    <w:rsid w:val="007B24BC"/>
    <w:rsid w:val="007F4540"/>
    <w:rsid w:val="007F55F3"/>
    <w:rsid w:val="0086568B"/>
    <w:rsid w:val="008774E5"/>
    <w:rsid w:val="008C63E8"/>
    <w:rsid w:val="00914FF9"/>
    <w:rsid w:val="00923FE5"/>
    <w:rsid w:val="00941868"/>
    <w:rsid w:val="00957CF7"/>
    <w:rsid w:val="00971964"/>
    <w:rsid w:val="00980C59"/>
    <w:rsid w:val="009A2EE4"/>
    <w:rsid w:val="009A78DF"/>
    <w:rsid w:val="009E2532"/>
    <w:rsid w:val="00A03DC5"/>
    <w:rsid w:val="00A04089"/>
    <w:rsid w:val="00A44C15"/>
    <w:rsid w:val="00A668FE"/>
    <w:rsid w:val="00A72B4D"/>
    <w:rsid w:val="00AC77E7"/>
    <w:rsid w:val="00AE728A"/>
    <w:rsid w:val="00B16D1A"/>
    <w:rsid w:val="00B44694"/>
    <w:rsid w:val="00B84842"/>
    <w:rsid w:val="00B93BFE"/>
    <w:rsid w:val="00BA3F83"/>
    <w:rsid w:val="00BD2223"/>
    <w:rsid w:val="00BD6134"/>
    <w:rsid w:val="00BE0A0D"/>
    <w:rsid w:val="00BE5C25"/>
    <w:rsid w:val="00BF30CD"/>
    <w:rsid w:val="00C000D1"/>
    <w:rsid w:val="00C37797"/>
    <w:rsid w:val="00C507A7"/>
    <w:rsid w:val="00C6284E"/>
    <w:rsid w:val="00C81B6E"/>
    <w:rsid w:val="00D26D86"/>
    <w:rsid w:val="00D32088"/>
    <w:rsid w:val="00D35CED"/>
    <w:rsid w:val="00D87727"/>
    <w:rsid w:val="00DA108E"/>
    <w:rsid w:val="00DC1318"/>
    <w:rsid w:val="00E26F63"/>
    <w:rsid w:val="00E477A3"/>
    <w:rsid w:val="00E6402C"/>
    <w:rsid w:val="00E97197"/>
    <w:rsid w:val="00EB3800"/>
    <w:rsid w:val="00EB7DA2"/>
    <w:rsid w:val="00EC329F"/>
    <w:rsid w:val="00EE35FD"/>
    <w:rsid w:val="00F52A26"/>
    <w:rsid w:val="00F54985"/>
    <w:rsid w:val="00F92F86"/>
    <w:rsid w:val="00FA7D8B"/>
    <w:rsid w:val="00FD16ED"/>
    <w:rsid w:val="00FE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5D70B8"/>
  <w15:chartTrackingRefBased/>
  <w15:docId w15:val="{E75E385C-C7AE-4B98-9817-3660A5F0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709E"/>
    <w:rPr>
      <w:sz w:val="24"/>
      <w:szCs w:val="24"/>
    </w:rPr>
  </w:style>
  <w:style w:type="paragraph" w:styleId="1">
    <w:name w:val="heading 1"/>
    <w:basedOn w:val="a"/>
    <w:next w:val="a"/>
    <w:qFormat/>
    <w:rsid w:val="003B2A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935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0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B4160"/>
    <w:rPr>
      <w:color w:val="0000FF"/>
      <w:u w:val="single"/>
    </w:rPr>
  </w:style>
  <w:style w:type="paragraph" w:styleId="a5">
    <w:name w:val="header"/>
    <w:basedOn w:val="a"/>
    <w:link w:val="a6"/>
    <w:rsid w:val="00661390"/>
    <w:pPr>
      <w:tabs>
        <w:tab w:val="center" w:pos="4536"/>
        <w:tab w:val="right" w:pos="9072"/>
      </w:tabs>
    </w:pPr>
  </w:style>
  <w:style w:type="character" w:customStyle="1" w:styleId="a6">
    <w:name w:val="页眉 字符"/>
    <w:link w:val="a5"/>
    <w:rsid w:val="00661390"/>
    <w:rPr>
      <w:sz w:val="24"/>
      <w:szCs w:val="24"/>
      <w:lang w:val="en-US"/>
    </w:rPr>
  </w:style>
  <w:style w:type="paragraph" w:styleId="a7">
    <w:name w:val="footer"/>
    <w:basedOn w:val="a"/>
    <w:link w:val="a8"/>
    <w:rsid w:val="00661390"/>
    <w:pPr>
      <w:tabs>
        <w:tab w:val="center" w:pos="4536"/>
        <w:tab w:val="right" w:pos="9072"/>
      </w:tabs>
    </w:pPr>
  </w:style>
  <w:style w:type="character" w:customStyle="1" w:styleId="a8">
    <w:name w:val="页脚 字符"/>
    <w:link w:val="a7"/>
    <w:rsid w:val="00661390"/>
    <w:rPr>
      <w:sz w:val="24"/>
      <w:szCs w:val="24"/>
      <w:lang w:val="en-US"/>
    </w:rPr>
  </w:style>
  <w:style w:type="character" w:styleId="a9">
    <w:name w:val="annotation reference"/>
    <w:rsid w:val="00EE35FD"/>
    <w:rPr>
      <w:sz w:val="16"/>
      <w:szCs w:val="16"/>
    </w:rPr>
  </w:style>
  <w:style w:type="paragraph" w:styleId="aa">
    <w:name w:val="annotation text"/>
    <w:basedOn w:val="a"/>
    <w:link w:val="ab"/>
    <w:rsid w:val="00EE35FD"/>
    <w:rPr>
      <w:sz w:val="20"/>
      <w:szCs w:val="20"/>
    </w:rPr>
  </w:style>
  <w:style w:type="character" w:customStyle="1" w:styleId="ab">
    <w:name w:val="批注文字 字符"/>
    <w:link w:val="aa"/>
    <w:rsid w:val="00EE35FD"/>
    <w:rPr>
      <w:lang w:eastAsia="zh-CN"/>
    </w:rPr>
  </w:style>
  <w:style w:type="paragraph" w:styleId="ac">
    <w:name w:val="annotation subject"/>
    <w:basedOn w:val="aa"/>
    <w:next w:val="aa"/>
    <w:link w:val="ad"/>
    <w:rsid w:val="00EE35FD"/>
    <w:rPr>
      <w:b/>
      <w:bCs/>
    </w:rPr>
  </w:style>
  <w:style w:type="character" w:customStyle="1" w:styleId="ad">
    <w:name w:val="批注主题 字符"/>
    <w:link w:val="ac"/>
    <w:rsid w:val="00EE35FD"/>
    <w:rPr>
      <w:b/>
      <w:bCs/>
      <w:lang w:eastAsia="zh-CN"/>
    </w:rPr>
  </w:style>
  <w:style w:type="paragraph" w:styleId="ae">
    <w:name w:val="Balloon Text"/>
    <w:basedOn w:val="a"/>
    <w:link w:val="af"/>
    <w:rsid w:val="00EE35FD"/>
    <w:rPr>
      <w:rFonts w:ascii="Tahoma" w:hAnsi="Tahoma" w:cs="Tahoma"/>
      <w:sz w:val="16"/>
      <w:szCs w:val="16"/>
    </w:rPr>
  </w:style>
  <w:style w:type="character" w:customStyle="1" w:styleId="af">
    <w:name w:val="批注框文本 字符"/>
    <w:link w:val="ae"/>
    <w:rsid w:val="00EE35FD"/>
    <w:rPr>
      <w:rFonts w:ascii="Tahoma" w:hAnsi="Tahoma" w:cs="Tahoma"/>
      <w:sz w:val="16"/>
      <w:szCs w:val="16"/>
      <w:lang w:eastAsia="zh-CN"/>
    </w:rPr>
  </w:style>
  <w:style w:type="paragraph" w:styleId="af0">
    <w:name w:val="List Paragraph"/>
    <w:basedOn w:val="a"/>
    <w:link w:val="af1"/>
    <w:uiPriority w:val="34"/>
    <w:qFormat/>
    <w:rsid w:val="00C81B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nl-NL" w:eastAsia="en-US"/>
    </w:rPr>
  </w:style>
  <w:style w:type="character" w:customStyle="1" w:styleId="af1">
    <w:name w:val="列表段落 字符"/>
    <w:link w:val="af0"/>
    <w:uiPriority w:val="34"/>
    <w:rsid w:val="00C81B6E"/>
    <w:rPr>
      <w:rFonts w:ascii="Calibri" w:hAnsi="Calibri"/>
      <w:sz w:val="22"/>
      <w:szCs w:val="2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Marteijn@erasmusmc.n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atureindex.com/supplements/nature-index-2019-biomedical-sciences/tables/healthcar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ur.nl/eu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nomestability.n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usnews.com/education/best-global-universities/clinical-medicine" TargetMode="External"/><Relationship Id="rId2" Type="http://schemas.openxmlformats.org/officeDocument/2006/relationships/hyperlink" Target="mailto:EuccChinaOffice@eur.n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www.natureindex.com/supplements/nature-index-2019-biomedical-sciences/tables/healthc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School:</vt:lpstr>
      <vt:lpstr>School:</vt:lpstr>
    </vt:vector>
  </TitlesOfParts>
  <Company>EUR</Company>
  <LinksUpToDate>false</LinksUpToDate>
  <CharactersWithSpaces>4407</CharactersWithSpaces>
  <SharedDoc>false</SharedDoc>
  <HLinks>
    <vt:vector size="24" baseType="variant">
      <vt:variant>
        <vt:i4>6619251</vt:i4>
      </vt:variant>
      <vt:variant>
        <vt:i4>3</vt:i4>
      </vt:variant>
      <vt:variant>
        <vt:i4>0</vt:i4>
      </vt:variant>
      <vt:variant>
        <vt:i4>5</vt:i4>
      </vt:variant>
      <vt:variant>
        <vt:lpwstr>http://www.genomestability.nl/</vt:lpwstr>
      </vt:variant>
      <vt:variant>
        <vt:lpwstr/>
      </vt:variant>
      <vt:variant>
        <vt:i4>196705</vt:i4>
      </vt:variant>
      <vt:variant>
        <vt:i4>0</vt:i4>
      </vt:variant>
      <vt:variant>
        <vt:i4>0</vt:i4>
      </vt:variant>
      <vt:variant>
        <vt:i4>5</vt:i4>
      </vt:variant>
      <vt:variant>
        <vt:lpwstr>mailto:J.Marteijn@erasmusmc.nl</vt:lpwstr>
      </vt:variant>
      <vt:variant>
        <vt:lpwstr/>
      </vt:variant>
      <vt:variant>
        <vt:i4>3539063</vt:i4>
      </vt:variant>
      <vt:variant>
        <vt:i4>3</vt:i4>
      </vt:variant>
      <vt:variant>
        <vt:i4>0</vt:i4>
      </vt:variant>
      <vt:variant>
        <vt:i4>5</vt:i4>
      </vt:variant>
      <vt:variant>
        <vt:lpwstr>https://www.usnews.com/education/best-global-universities/clinical-medicine</vt:lpwstr>
      </vt:variant>
      <vt:variant>
        <vt:lpwstr/>
      </vt:variant>
      <vt:variant>
        <vt:i4>1245195</vt:i4>
      </vt:variant>
      <vt:variant>
        <vt:i4>0</vt:i4>
      </vt:variant>
      <vt:variant>
        <vt:i4>0</vt:i4>
      </vt:variant>
      <vt:variant>
        <vt:i4>5</vt:i4>
      </vt:variant>
      <vt:variant>
        <vt:lpwstr>http://www.erasmusmc.nl/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School:</dc:title>
  <dc:subject/>
  <dc:creator>Weichia Tseng</dc:creator>
  <cp:keywords/>
  <cp:lastModifiedBy>L S</cp:lastModifiedBy>
  <cp:revision>7</cp:revision>
  <dcterms:created xsi:type="dcterms:W3CDTF">2021-04-07T08:37:00Z</dcterms:created>
  <dcterms:modified xsi:type="dcterms:W3CDTF">2021-10-08T15:15:00Z</dcterms:modified>
</cp:coreProperties>
</file>