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8533"/>
      </w:tblGrid>
      <w:tr w:rsidR="0058709E" w:rsidRPr="00986B29" w14:paraId="214A0908" w14:textId="77777777" w:rsidTr="003842D4">
        <w:trPr>
          <w:trHeight w:val="27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901D6F" w14:textId="6D20C34E" w:rsidR="0058709E" w:rsidRPr="00986B29" w:rsidRDefault="0058709E">
            <w:pPr>
              <w:rPr>
                <w:rFonts w:asciiTheme="majorHAnsi" w:hAnsiTheme="majorHAnsi" w:cstheme="majorHAnsi"/>
                <w:b/>
                <w:i/>
                <w:sz w:val="22"/>
                <w:szCs w:val="22"/>
                <w:highlight w:val="yellow"/>
              </w:rPr>
            </w:pPr>
            <w:r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  <w:highlight w:val="yellow"/>
              </w:rPr>
              <w:t>School/</w:t>
            </w:r>
            <w:r w:rsidR="00027D94"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  <w:highlight w:val="yellow"/>
              </w:rPr>
              <w:t>Department</w:t>
            </w:r>
          </w:p>
        </w:tc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9578DA" w14:textId="08BEBFD0" w:rsidR="006F091A" w:rsidRPr="00986B29" w:rsidRDefault="00C15A03" w:rsidP="00403259">
            <w:pPr>
              <w:rPr>
                <w:rFonts w:asciiTheme="majorHAnsi" w:hAnsiTheme="majorHAnsi" w:cstheme="majorHAnsi"/>
                <w:b/>
                <w:i/>
                <w:sz w:val="22"/>
                <w:szCs w:val="22"/>
                <w:highlight w:val="yellow"/>
              </w:rPr>
            </w:pPr>
            <w:r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  <w:highlight w:val="yellow"/>
              </w:rPr>
              <w:t>Dept</w:t>
            </w:r>
            <w:r w:rsidR="00A46EC2"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  <w:highlight w:val="yellow"/>
              </w:rPr>
              <w:t xml:space="preserve"> </w:t>
            </w:r>
            <w:r w:rsidR="00403259"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  <w:highlight w:val="yellow"/>
              </w:rPr>
              <w:t>Internal Medicine,</w:t>
            </w:r>
            <w:r w:rsidR="00A46EC2"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  <w:highlight w:val="yellow"/>
              </w:rPr>
              <w:t xml:space="preserve"> </w:t>
            </w:r>
            <w:r w:rsidR="00E63212"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  <w:highlight w:val="yellow"/>
              </w:rPr>
              <w:t xml:space="preserve">Endocrinology, </w:t>
            </w:r>
            <w:r w:rsidR="00947DF7"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  <w:highlight w:val="yellow"/>
              </w:rPr>
              <w:t>Erasmus MC</w:t>
            </w:r>
          </w:p>
        </w:tc>
      </w:tr>
      <w:tr w:rsidR="002411AE" w:rsidRPr="00986B29" w14:paraId="4853F4CF" w14:textId="77777777" w:rsidTr="003842D4">
        <w:trPr>
          <w:trHeight w:val="495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3679" w14:textId="77777777" w:rsidR="002411AE" w:rsidRPr="00986B29" w:rsidRDefault="002411AE" w:rsidP="00BE0A0D">
            <w:pPr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Supervisor information:</w:t>
            </w:r>
          </w:p>
        </w:tc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B8D23" w14:textId="38A2C44E" w:rsidR="002411AE" w:rsidRPr="00986B29" w:rsidRDefault="00EE1E0C" w:rsidP="00125C4C">
            <w:pPr>
              <w:numPr>
                <w:ilvl w:val="0"/>
                <w:numId w:val="6"/>
              </w:numPr>
              <w:ind w:left="202" w:hanging="202"/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  <w:lang w:val="nl-NL"/>
              </w:rPr>
            </w:pPr>
            <w:r w:rsidRPr="00986B29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  <w:lang w:val="nl-NL"/>
              </w:rPr>
              <w:t>Prof</w:t>
            </w:r>
            <w:r w:rsidR="007208A2" w:rsidRPr="00986B29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  <w:lang w:val="nl-NL"/>
              </w:rPr>
              <w:t>.</w:t>
            </w:r>
            <w:r w:rsidRPr="00986B29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  <w:lang w:val="nl-NL"/>
              </w:rPr>
              <w:t xml:space="preserve"> </w:t>
            </w:r>
            <w:r w:rsidR="007208A2" w:rsidRPr="00986B29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  <w:lang w:val="nl-NL"/>
              </w:rPr>
              <w:t>D</w:t>
            </w:r>
            <w:r w:rsidRPr="00986B29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  <w:lang w:val="nl-NL"/>
              </w:rPr>
              <w:t>r</w:t>
            </w:r>
            <w:r w:rsidR="007208A2" w:rsidRPr="00986B29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  <w:lang w:val="nl-NL"/>
              </w:rPr>
              <w:t>.</w:t>
            </w:r>
            <w:r w:rsidRPr="00986B29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  <w:lang w:val="nl-NL"/>
              </w:rPr>
              <w:t xml:space="preserve"> </w:t>
            </w:r>
            <w:r w:rsidR="005C4509" w:rsidRPr="00986B29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  <w:lang w:val="nl-NL"/>
              </w:rPr>
              <w:t>W.W. de Herder</w:t>
            </w:r>
            <w:r w:rsidR="00E63212" w:rsidRPr="00986B29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  <w:lang w:val="nl-NL"/>
              </w:rPr>
              <w:t xml:space="preserve"> </w:t>
            </w:r>
            <w:r w:rsidR="00355261" w:rsidRPr="00986B29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  <w:lang w:val="nl-NL"/>
              </w:rPr>
              <w:t xml:space="preserve">&amp; Dr. </w:t>
            </w:r>
            <w:r w:rsidR="005C4509" w:rsidRPr="00986B29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  <w:lang w:val="nl-NL"/>
              </w:rPr>
              <w:t>J. Hofland</w:t>
            </w:r>
            <w:r w:rsidR="00355261" w:rsidRPr="00986B29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  <w:lang w:val="nl-NL"/>
              </w:rPr>
              <w:t xml:space="preserve"> </w:t>
            </w:r>
          </w:p>
          <w:p w14:paraId="4D222EA3" w14:textId="4BF557CA" w:rsidR="002411AE" w:rsidRPr="00986B29" w:rsidRDefault="00A46EC2" w:rsidP="00125C4C">
            <w:pPr>
              <w:numPr>
                <w:ilvl w:val="0"/>
                <w:numId w:val="6"/>
              </w:numPr>
              <w:ind w:left="202" w:hanging="202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Email:</w:t>
            </w:r>
            <w:r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 </w:t>
            </w:r>
            <w:hyperlink r:id="rId7" w:history="1">
              <w:r w:rsidR="005C4509" w:rsidRPr="00986B29">
                <w:rPr>
                  <w:rStyle w:val="a4"/>
                  <w:rFonts w:asciiTheme="majorHAnsi" w:hAnsiTheme="majorHAnsi" w:cstheme="majorHAnsi"/>
                  <w:i/>
                  <w:sz w:val="22"/>
                  <w:szCs w:val="22"/>
                </w:rPr>
                <w:t>w.w.deherder@erasmusmc.nl</w:t>
              </w:r>
            </w:hyperlink>
            <w:r w:rsidR="00355261"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&amp; </w:t>
            </w:r>
            <w:hyperlink r:id="rId8" w:history="1">
              <w:r w:rsidR="00FF7EEA" w:rsidRPr="00986B29">
                <w:rPr>
                  <w:rStyle w:val="a4"/>
                  <w:rFonts w:asciiTheme="majorHAnsi" w:hAnsiTheme="majorHAnsi" w:cstheme="majorHAnsi"/>
                  <w:i/>
                  <w:sz w:val="22"/>
                  <w:szCs w:val="22"/>
                </w:rPr>
                <w:t>j.hofland@erasmusmc.nl</w:t>
              </w:r>
            </w:hyperlink>
            <w:r w:rsidR="00FF7EEA"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</w:p>
          <w:p w14:paraId="33640286" w14:textId="34985784" w:rsidR="002411AE" w:rsidRPr="00986B29" w:rsidRDefault="00A46EC2" w:rsidP="00125C4C">
            <w:pPr>
              <w:numPr>
                <w:ilvl w:val="0"/>
                <w:numId w:val="6"/>
              </w:numPr>
              <w:ind w:left="202" w:hanging="202"/>
              <w:rPr>
                <w:rFonts w:asciiTheme="majorHAnsi" w:hAnsiTheme="majorHAnsi" w:cstheme="majorHAnsi"/>
                <w:i/>
                <w:sz w:val="22"/>
                <w:szCs w:val="22"/>
                <w:lang w:val="nl-NL"/>
              </w:rPr>
            </w:pPr>
            <w:r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  <w:lang w:val="nl-NL"/>
              </w:rPr>
              <w:t>Website:</w:t>
            </w:r>
            <w:r w:rsidR="004071FB" w:rsidRPr="00986B29">
              <w:rPr>
                <w:rFonts w:asciiTheme="majorHAnsi" w:hAnsiTheme="majorHAnsi" w:cstheme="majorHAnsi"/>
                <w:sz w:val="22"/>
                <w:szCs w:val="22"/>
                <w:lang w:val="nl-NL"/>
              </w:rPr>
              <w:t xml:space="preserve"> </w:t>
            </w:r>
            <w:hyperlink r:id="rId9" w:history="1">
              <w:r w:rsidR="008B286A" w:rsidRPr="00986B29">
                <w:rPr>
                  <w:rStyle w:val="a4"/>
                  <w:rFonts w:asciiTheme="majorHAnsi" w:hAnsiTheme="majorHAnsi" w:cstheme="majorHAnsi"/>
                  <w:i/>
                  <w:sz w:val="22"/>
                  <w:szCs w:val="22"/>
                  <w:lang w:val="nl-NL"/>
                </w:rPr>
                <w:t>https://www.erasmusmc.nl/en/research/departments/internal-medicine-laboratories</w:t>
              </w:r>
            </w:hyperlink>
            <w:r w:rsidR="008B286A" w:rsidRPr="00986B29">
              <w:rPr>
                <w:rFonts w:asciiTheme="majorHAnsi" w:hAnsiTheme="majorHAnsi" w:cstheme="majorHAnsi"/>
                <w:i/>
                <w:sz w:val="22"/>
                <w:szCs w:val="22"/>
                <w:lang w:val="nl-NL"/>
              </w:rPr>
              <w:t xml:space="preserve"> </w:t>
            </w:r>
          </w:p>
          <w:p w14:paraId="06AFC4E3" w14:textId="77777777" w:rsidR="006F091A" w:rsidRPr="00986B29" w:rsidRDefault="00947DF7" w:rsidP="00125C4C">
            <w:pPr>
              <w:numPr>
                <w:ilvl w:val="0"/>
                <w:numId w:val="6"/>
              </w:numPr>
              <w:ind w:left="202" w:hanging="202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Personal Grants</w:t>
            </w:r>
            <w:r w:rsidR="00A46EC2"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: </w:t>
            </w:r>
          </w:p>
          <w:p w14:paraId="2020FBAE" w14:textId="4985B1E6" w:rsidR="00A46EC2" w:rsidRPr="00986B29" w:rsidRDefault="00345101" w:rsidP="00A46EC2">
            <w:pPr>
              <w:numPr>
                <w:ilvl w:val="0"/>
                <w:numId w:val="7"/>
              </w:num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>ERC H2020 Marie-Curie Intra-European Fellowship (2013), Royal College of Physicians</w:t>
            </w:r>
            <w:r w:rsidR="00856749"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UK</w:t>
            </w:r>
            <w:r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(2013), </w:t>
            </w:r>
            <w:r w:rsidR="005C4509"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>Daniel den Hoed Foundation</w:t>
            </w:r>
            <w:r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(2015)</w:t>
            </w:r>
            <w:r w:rsidR="005C4509"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>,</w:t>
            </w:r>
            <w:r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Erasmus MC MRACE-Grant (2017), Swiss National Science Foundation (2018), co-investigator Dutch Cancer Fund (2019)</w:t>
            </w:r>
            <w:r w:rsidR="00856749"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>, NET Research Foundation (2020)</w:t>
            </w:r>
          </w:p>
          <w:p w14:paraId="49764BBC" w14:textId="390C1908" w:rsidR="007A54DB" w:rsidRPr="00986B29" w:rsidRDefault="00EE35FD" w:rsidP="007A54DB">
            <w:pPr>
              <w:numPr>
                <w:ilvl w:val="0"/>
                <w:numId w:val="6"/>
              </w:numPr>
              <w:ind w:left="202" w:hanging="202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Most important</w:t>
            </w:r>
            <w:r w:rsidR="0032143E"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publications:</w:t>
            </w:r>
          </w:p>
          <w:p w14:paraId="656DA924" w14:textId="05444EB9" w:rsidR="007A54DB" w:rsidRPr="00986B29" w:rsidRDefault="007A54DB" w:rsidP="00345101">
            <w:pPr>
              <w:pStyle w:val="af2"/>
              <w:numPr>
                <w:ilvl w:val="0"/>
                <w:numId w:val="7"/>
              </w:numPr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</w:pP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Additional holmium-166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radioembolisation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 after lutetium-177-dotatate in patients with neuroendocrine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tumour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 liver metastases (HEPAR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PLuS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): a single-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centre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, single-arm, open-label, phase 2 study. </w:t>
            </w:r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>Lancet Oncol</w:t>
            </w: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 2020; 21: 561-570</w:t>
            </w:r>
          </w:p>
          <w:p w14:paraId="0A589633" w14:textId="6EFDAC08" w:rsidR="00345101" w:rsidRPr="00986B29" w:rsidRDefault="00345101" w:rsidP="00345101">
            <w:pPr>
              <w:pStyle w:val="af2"/>
              <w:numPr>
                <w:ilvl w:val="0"/>
                <w:numId w:val="7"/>
              </w:numPr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</w:pP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Advances in the diagnosis and management of well-differentiated neuroendocrine neoplasms.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>Endocr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 xml:space="preserve"> Rev</w:t>
            </w: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 </w:t>
            </w:r>
            <w:r w:rsidR="007A54DB"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2020; 41: 371-403</w:t>
            </w:r>
          </w:p>
          <w:p w14:paraId="4A103BF5" w14:textId="0DD42A9F" w:rsidR="00345101" w:rsidRPr="00986B29" w:rsidRDefault="00345101" w:rsidP="00345101">
            <w:pPr>
              <w:pStyle w:val="af2"/>
              <w:numPr>
                <w:ilvl w:val="0"/>
                <w:numId w:val="7"/>
              </w:numPr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</w:pP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Management of carcinoid syndrome: a systematic review and meta-analysis.</w:t>
            </w:r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 xml:space="preserve">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>Endocr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 xml:space="preserve">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>Relat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 xml:space="preserve"> Cancer</w:t>
            </w: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. 2019</w:t>
            </w:r>
            <w:r w:rsidR="007A54DB"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; 26: R145-156</w:t>
            </w:r>
          </w:p>
          <w:p w14:paraId="42CF747B" w14:textId="17AFD037" w:rsidR="00345101" w:rsidRPr="00986B29" w:rsidRDefault="00345101" w:rsidP="00345101">
            <w:pPr>
              <w:pStyle w:val="af2"/>
              <w:numPr>
                <w:ilvl w:val="0"/>
                <w:numId w:val="7"/>
              </w:numPr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</w:pP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Symptomatic and radiological response to 177Lu-DOTATATE for the treatment of functioning pancreatic neuroendocrine tumors. </w:t>
            </w:r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 xml:space="preserve">J Clin Endocrinol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>Metab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 2019, 104(4): 1336-1344</w:t>
            </w:r>
          </w:p>
          <w:p w14:paraId="7963B221" w14:textId="15890A88" w:rsidR="00345101" w:rsidRPr="00986B29" w:rsidRDefault="00345101" w:rsidP="00345101">
            <w:pPr>
              <w:pStyle w:val="af2"/>
              <w:numPr>
                <w:ilvl w:val="0"/>
                <w:numId w:val="7"/>
              </w:numPr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</w:pP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Salvage peptide receptor radionuclide therapy with [177Lu-</w:t>
            </w:r>
            <w:proofErr w:type="gramStart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DOTA,Tyr</w:t>
            </w:r>
            <w:proofErr w:type="gramEnd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3]octreotate in patients with bronchial and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gastroenteropancreatic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 neuroendocrine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tumours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. </w:t>
            </w:r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 xml:space="preserve">Eur J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>Nucl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 xml:space="preserve"> Med Mol Imaging</w:t>
            </w: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 2019, 46(3):704-717.</w:t>
            </w:r>
          </w:p>
          <w:p w14:paraId="4565C126" w14:textId="35A89165" w:rsidR="00345101" w:rsidRPr="00986B29" w:rsidRDefault="00345101" w:rsidP="00345101">
            <w:pPr>
              <w:pStyle w:val="af2"/>
              <w:numPr>
                <w:ilvl w:val="0"/>
                <w:numId w:val="7"/>
              </w:numPr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</w:pP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Role of biomarker tests for diagnosis of neuroendocrine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tumours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. </w:t>
            </w:r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>Nature Rev Endo</w:t>
            </w: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 2018, 14(11):656-669</w:t>
            </w:r>
          </w:p>
          <w:p w14:paraId="67F4AA6B" w14:textId="4EE21BEE" w:rsidR="00345101" w:rsidRPr="00986B29" w:rsidRDefault="00345101" w:rsidP="00345101">
            <w:pPr>
              <w:pStyle w:val="af2"/>
              <w:numPr>
                <w:ilvl w:val="0"/>
                <w:numId w:val="7"/>
              </w:numPr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</w:pP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MAFA missense mutation causes familial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insulinomatosis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 and diabetes mellitus. </w:t>
            </w:r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>PNAS</w:t>
            </w: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 2018 Jan 30;115(5):1027-1032</w:t>
            </w:r>
          </w:p>
          <w:p w14:paraId="53564D4E" w14:textId="734EC543" w:rsidR="00345101" w:rsidRPr="00986B29" w:rsidRDefault="00345101" w:rsidP="00CF3D88">
            <w:pPr>
              <w:pStyle w:val="af2"/>
              <w:numPr>
                <w:ilvl w:val="0"/>
                <w:numId w:val="7"/>
              </w:numPr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</w:pP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Persistent Hematologic Dysfunction after Peptide Receptor Radionuclide Therapy with 177Lu-DOTATATE: Incidence, Course, and Predicting Factors in Patients with Gastroenteropancreatic Neuroendocrine Tumors. </w:t>
            </w:r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 xml:space="preserve">J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>Nucl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 xml:space="preserve"> Med.</w:t>
            </w: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 2018 Mar;59(3):452-458</w:t>
            </w:r>
          </w:p>
          <w:p w14:paraId="5050D6F9" w14:textId="05E869F1" w:rsidR="00BB3CC4" w:rsidRPr="00986B29" w:rsidRDefault="00345101" w:rsidP="007A54DB">
            <w:pPr>
              <w:pStyle w:val="af2"/>
              <w:numPr>
                <w:ilvl w:val="0"/>
                <w:numId w:val="7"/>
              </w:numPr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</w:pP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Consensus on biomarkers for neuroendocrine </w:t>
            </w:r>
            <w:proofErr w:type="spellStart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tumour</w:t>
            </w:r>
            <w:proofErr w:type="spellEnd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 disease. </w:t>
            </w:r>
            <w:r w:rsidRPr="00986B29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nl-NL"/>
              </w:rPr>
              <w:t>Lancet Oncol.</w:t>
            </w:r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 xml:space="preserve"> 2015 Sep;16(9</w:t>
            </w:r>
            <w:proofErr w:type="gramStart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):e</w:t>
            </w:r>
            <w:proofErr w:type="gramEnd"/>
            <w:r w:rsidRPr="00986B29">
              <w:rPr>
                <w:rFonts w:asciiTheme="majorHAnsi" w:eastAsia="Times New Roman" w:hAnsiTheme="majorHAnsi" w:cstheme="majorHAnsi"/>
                <w:sz w:val="22"/>
                <w:szCs w:val="22"/>
                <w:lang w:eastAsia="nl-NL"/>
              </w:rPr>
              <w:t>435-e446.</w:t>
            </w:r>
          </w:p>
        </w:tc>
      </w:tr>
      <w:tr w:rsidR="0058709E" w:rsidRPr="00986B29" w14:paraId="11B8075F" w14:textId="77777777" w:rsidTr="003842D4">
        <w:trPr>
          <w:trHeight w:val="37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387AF" w14:textId="77777777" w:rsidR="0058709E" w:rsidRPr="00986B29" w:rsidRDefault="0058709E">
            <w:pPr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Project Title:</w:t>
            </w:r>
          </w:p>
        </w:tc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876F1" w14:textId="4C463546" w:rsidR="006F091A" w:rsidRPr="00986B29" w:rsidRDefault="005A165E" w:rsidP="007A62B3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Discovery of novel biomarkers for </w:t>
            </w:r>
            <w:proofErr w:type="spellStart"/>
            <w:r w:rsidRPr="00986B29">
              <w:rPr>
                <w:rFonts w:asciiTheme="majorHAnsi" w:hAnsiTheme="majorHAnsi" w:cstheme="majorHAnsi"/>
                <w:b/>
                <w:sz w:val="22"/>
                <w:szCs w:val="22"/>
              </w:rPr>
              <w:t>gastroenteropancreatic</w:t>
            </w:r>
            <w:proofErr w:type="spellEnd"/>
            <w:r w:rsidRPr="00986B29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neuroendocrine tumors</w:t>
            </w:r>
          </w:p>
        </w:tc>
      </w:tr>
      <w:tr w:rsidR="0058709E" w:rsidRPr="00986B29" w14:paraId="62EED3C9" w14:textId="77777777" w:rsidTr="003842D4">
        <w:trPr>
          <w:trHeight w:val="34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F78E3" w14:textId="77777777" w:rsidR="0058709E" w:rsidRPr="00986B29" w:rsidRDefault="0058709E">
            <w:pPr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lastRenderedPageBreak/>
              <w:t>Abstract:</w:t>
            </w:r>
          </w:p>
        </w:tc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FECC" w14:textId="3883B21B" w:rsidR="007208A2" w:rsidRPr="00986B29" w:rsidRDefault="007208A2" w:rsidP="0092318B">
            <w:pPr>
              <w:pStyle w:val="af0"/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both"/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</w:pPr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>Neuroendocrine neoplasms of the pulmonary and gastrointestinal systems are heterogeneous tumors. Although rare, their incidence has risen 6-fold over the last 3 decades. Well-differentiated neuroendocrine tumors (NETs) have limited treatment options and are often accompanied by severe hormonal syndromes.</w:t>
            </w:r>
            <w:r w:rsidR="0092318B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</w:t>
            </w:r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Our NET Center of Excellence has been world-leading in this field with translational biomarker </w:t>
            </w:r>
            <w:proofErr w:type="gramStart"/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>research</w:t>
            </w:r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vertAlign w:val="superscript"/>
                <w:lang w:val="en-US"/>
              </w:rPr>
              <w:t>(</w:t>
            </w:r>
            <w:proofErr w:type="gramEnd"/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vertAlign w:val="superscript"/>
                <w:lang w:val="en-US"/>
              </w:rPr>
              <w:t>Nature Rev Endo 2018)</w:t>
            </w:r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>, participation in international guidelines</w:t>
            </w:r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vertAlign w:val="superscript"/>
                <w:lang w:val="en-US"/>
              </w:rPr>
              <w:t>(Neuroendocrinology 2016)</w:t>
            </w:r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and the development of radionuclide imaging</w:t>
            </w:r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vertAlign w:val="superscript"/>
                <w:lang w:val="en-US"/>
              </w:rPr>
              <w:t>(Lancet 1989)</w:t>
            </w:r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and therapy</w:t>
            </w:r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vertAlign w:val="superscript"/>
                <w:lang w:val="en-US"/>
              </w:rPr>
              <w:t>(NEJM 2017)</w:t>
            </w:r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. </w:t>
            </w:r>
          </w:p>
          <w:p w14:paraId="661D426F" w14:textId="6028A735" w:rsidR="00751701" w:rsidRPr="00986B29" w:rsidRDefault="0092318B" w:rsidP="0092318B">
            <w:pPr>
              <w:pStyle w:val="af0"/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both"/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</w:pPr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Our research lines in endocrine oncology have a strong translational aspect with </w:t>
            </w:r>
            <w:r w:rsidR="00BD270B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close </w:t>
            </w:r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interaction between clinical and basic scientists. </w:t>
            </w:r>
            <w:r w:rsidR="00751701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We participate in international clinical trials, have created clinical databases with &gt;2000 NET patients and have a dedicated Neuroendocrine Laboratory with decades of experience in in vitro and ex vivo characterization of NET cells. </w:t>
            </w:r>
          </w:p>
          <w:p w14:paraId="186E84F1" w14:textId="3CE87E26" w:rsidR="0092318B" w:rsidRPr="00986B29" w:rsidRDefault="0092318B" w:rsidP="0092318B">
            <w:pPr>
              <w:pStyle w:val="af0"/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both"/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</w:pPr>
            <w:r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>Current projects</w:t>
            </w:r>
            <w:r w:rsidR="00960A50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focus on</w:t>
            </w:r>
            <w:r w:rsidR="00BD270B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the discovery of novel biomarkers for </w:t>
            </w:r>
            <w:proofErr w:type="spellStart"/>
            <w:r w:rsidR="00BD270B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>gastroenteropancreatic</w:t>
            </w:r>
            <w:proofErr w:type="spellEnd"/>
            <w:r w:rsidR="00BD270B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NETs through epigenomics, proteomics and </w:t>
            </w:r>
            <w:proofErr w:type="spellStart"/>
            <w:r w:rsidR="00BD270B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>microbiomics</w:t>
            </w:r>
            <w:proofErr w:type="spellEnd"/>
            <w:r w:rsidR="00BD270B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. </w:t>
            </w:r>
            <w:r w:rsidR="00751701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>This includes</w:t>
            </w:r>
            <w:r w:rsidR="00960A50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regulatory control of somatostatin receptor expression as well as</w:t>
            </w:r>
            <w:r w:rsidR="00751701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the search </w:t>
            </w:r>
            <w:proofErr w:type="gramStart"/>
            <w:r w:rsidR="00751701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>for</w:t>
            </w:r>
            <w:r w:rsidR="00960A50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</w:t>
            </w:r>
            <w:r w:rsidR="00751701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biomarkers</w:t>
            </w:r>
            <w:proofErr w:type="gramEnd"/>
            <w:r w:rsidR="00751701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for carcinoid syndrome-related </w:t>
            </w:r>
            <w:r w:rsidR="00960A50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>complications</w:t>
            </w:r>
            <w:r w:rsidR="00751701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and for the efficacy of peptide receptor radionuclide therapy (PRRT). This project will integrate into our long-standing translational biomarkers studies to improve diagnostics, </w:t>
            </w:r>
            <w:r w:rsidR="00960A50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>prognostication</w:t>
            </w:r>
            <w:r w:rsidR="00751701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and prediction of therap</w:t>
            </w:r>
            <w:r w:rsidR="00960A50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>eutic outcome</w:t>
            </w:r>
            <w:r w:rsidR="00751701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 in patients with </w:t>
            </w:r>
            <w:r w:rsidR="006915CB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 xml:space="preserve">bronchial and </w:t>
            </w:r>
            <w:r w:rsidR="00751701" w:rsidRPr="00986B29">
              <w:rPr>
                <w:rFonts w:asciiTheme="majorHAnsi" w:hAnsiTheme="majorHAnsi" w:cstheme="majorHAnsi"/>
                <w:b w:val="0"/>
                <w:sz w:val="22"/>
                <w:szCs w:val="22"/>
                <w:lang w:val="en-US"/>
              </w:rPr>
              <w:t>gastroenteropancreatic NETs.</w:t>
            </w:r>
          </w:p>
        </w:tc>
      </w:tr>
      <w:tr w:rsidR="0058709E" w:rsidRPr="00986B29" w14:paraId="452AF1D0" w14:textId="77777777" w:rsidTr="003842D4">
        <w:trPr>
          <w:trHeight w:val="98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FB5BC" w14:textId="77777777" w:rsidR="0058709E" w:rsidRPr="00986B29" w:rsidRDefault="0058709E">
            <w:pPr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Requirements of candidate:</w:t>
            </w:r>
          </w:p>
        </w:tc>
        <w:tc>
          <w:tcPr>
            <w:tcW w:w="8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BE6D5" w14:textId="17EF032E" w:rsidR="004C16BA" w:rsidRPr="00986B29" w:rsidRDefault="004C16BA" w:rsidP="006B1A03">
            <w:pPr>
              <w:numPr>
                <w:ilvl w:val="0"/>
                <w:numId w:val="1"/>
              </w:numPr>
              <w:ind w:left="317" w:hanging="284"/>
              <w:rPr>
                <w:rFonts w:asciiTheme="majorHAnsi" w:hAnsiTheme="majorHAnsi" w:cstheme="majorHAnsi"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We are looking for </w:t>
            </w:r>
            <w:r w:rsidR="00836A04"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a </w:t>
            </w:r>
            <w:r w:rsidRPr="00986B29">
              <w:rPr>
                <w:rFonts w:asciiTheme="majorHAnsi" w:hAnsiTheme="majorHAnsi" w:cstheme="majorHAnsi"/>
                <w:sz w:val="22"/>
                <w:szCs w:val="22"/>
              </w:rPr>
              <w:t>highly motivated</w:t>
            </w:r>
            <w:r w:rsidR="005A165E"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 and enthusiastic </w:t>
            </w:r>
            <w:r w:rsidR="00836A04"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student to join our international team. </w:t>
            </w:r>
            <w:r w:rsidR="005A165E" w:rsidRPr="00986B29">
              <w:rPr>
                <w:rFonts w:asciiTheme="majorHAnsi" w:hAnsiTheme="majorHAnsi" w:cstheme="majorHAnsi"/>
                <w:sz w:val="22"/>
                <w:szCs w:val="22"/>
              </w:rPr>
              <w:t>The candidate should be a team player with good communication and writing skills and interested in translational cancer science</w:t>
            </w:r>
            <w:r w:rsidR="00836A04"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49F83788" w14:textId="25F3A497" w:rsidR="005A165E" w:rsidRPr="00986B29" w:rsidRDefault="0058709E" w:rsidP="00305F80">
            <w:pPr>
              <w:numPr>
                <w:ilvl w:val="0"/>
                <w:numId w:val="1"/>
              </w:numPr>
              <w:ind w:left="317" w:hanging="284"/>
              <w:rPr>
                <w:rFonts w:asciiTheme="majorHAnsi" w:hAnsiTheme="majorHAnsi" w:cstheme="majorHAnsi"/>
                <w:sz w:val="22"/>
                <w:szCs w:val="22"/>
              </w:rPr>
            </w:pPr>
            <w:proofErr w:type="gramStart"/>
            <w:r w:rsidRPr="00986B29">
              <w:rPr>
                <w:rFonts w:asciiTheme="majorHAnsi" w:hAnsiTheme="majorHAnsi" w:cstheme="majorHAnsi"/>
                <w:sz w:val="22"/>
                <w:szCs w:val="22"/>
              </w:rPr>
              <w:t>Master</w:t>
            </w:r>
            <w:proofErr w:type="gramEnd"/>
            <w:r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 degree</w:t>
            </w:r>
            <w:r w:rsidR="00EE35FD"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 or M</w:t>
            </w:r>
            <w:r w:rsidR="005A165E"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edical </w:t>
            </w:r>
            <w:r w:rsidR="00EE35FD" w:rsidRPr="00986B29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 w:rsidR="005A165E"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egree. Prior experience in molecular biology, bioinformatics and statistics is of significant added value. </w:t>
            </w:r>
          </w:p>
          <w:p w14:paraId="5CB475D8" w14:textId="77777777" w:rsidR="00947DF7" w:rsidRPr="00986B29" w:rsidRDefault="00947DF7" w:rsidP="006B1A03">
            <w:pPr>
              <w:numPr>
                <w:ilvl w:val="0"/>
                <w:numId w:val="1"/>
              </w:numPr>
              <w:ind w:left="317" w:hanging="284"/>
              <w:rPr>
                <w:rFonts w:asciiTheme="majorHAnsi" w:hAnsiTheme="majorHAnsi" w:cstheme="majorHAnsi"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Scholarship that will, at least, cover subsistence allowance and international </w:t>
            </w:r>
            <w:proofErr w:type="gramStart"/>
            <w:r w:rsidRPr="00986B29">
              <w:rPr>
                <w:rFonts w:asciiTheme="majorHAnsi" w:hAnsiTheme="majorHAnsi" w:cstheme="majorHAnsi"/>
                <w:sz w:val="22"/>
                <w:szCs w:val="22"/>
              </w:rPr>
              <w:t>air plane</w:t>
            </w:r>
            <w:proofErr w:type="gramEnd"/>
            <w:r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 ticket (we could help with the scientific part of your scholarship proposal)</w:t>
            </w:r>
          </w:p>
          <w:p w14:paraId="1219D0D7" w14:textId="0DE97B8F" w:rsidR="00EE35FD" w:rsidRPr="00986B29" w:rsidRDefault="002411AE" w:rsidP="006B1A03">
            <w:pPr>
              <w:numPr>
                <w:ilvl w:val="0"/>
                <w:numId w:val="1"/>
              </w:numPr>
              <w:ind w:left="317" w:hanging="284"/>
              <w:rPr>
                <w:rFonts w:asciiTheme="majorHAnsi" w:hAnsiTheme="majorHAnsi" w:cstheme="majorHAnsi"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English language </w:t>
            </w:r>
            <w:r w:rsidR="00083774" w:rsidRPr="00986B29">
              <w:rPr>
                <w:rFonts w:asciiTheme="majorHAnsi" w:hAnsiTheme="majorHAnsi" w:cstheme="majorHAnsi"/>
                <w:sz w:val="22"/>
                <w:szCs w:val="22"/>
              </w:rPr>
              <w:t>requirement</w:t>
            </w:r>
            <w:r w:rsidR="00EE35FD" w:rsidRPr="00986B2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="005A165E"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 fluently speaking and writing.</w:t>
            </w:r>
          </w:p>
          <w:p w14:paraId="036D74C4" w14:textId="77777777" w:rsidR="00EE35FD" w:rsidRPr="00986B29" w:rsidRDefault="00EE35FD" w:rsidP="006B1A03">
            <w:pPr>
              <w:numPr>
                <w:ilvl w:val="0"/>
                <w:numId w:val="1"/>
              </w:numPr>
              <w:ind w:left="317" w:hanging="284"/>
              <w:rPr>
                <w:rFonts w:asciiTheme="majorHAnsi" w:hAnsiTheme="majorHAnsi" w:cstheme="majorHAnsi"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>English speaking countries &amp; Netherlands:</w:t>
            </w:r>
            <w:r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 no requirement</w:t>
            </w:r>
          </w:p>
          <w:p w14:paraId="19254092" w14:textId="77777777" w:rsidR="006F091A" w:rsidRPr="00986B29" w:rsidRDefault="00EE35FD" w:rsidP="006B1A03">
            <w:pPr>
              <w:numPr>
                <w:ilvl w:val="0"/>
                <w:numId w:val="1"/>
              </w:numPr>
              <w:ind w:left="317" w:hanging="284"/>
              <w:rPr>
                <w:rFonts w:asciiTheme="majorHAnsi" w:hAnsiTheme="majorHAnsi" w:cstheme="majorHAnsi"/>
                <w:sz w:val="22"/>
                <w:szCs w:val="22"/>
              </w:rPr>
            </w:pPr>
            <w:r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>Other countries:</w:t>
            </w:r>
            <w:r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 IELTS 7.0 </w:t>
            </w:r>
            <w:r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>(min 6.0 for all subs)</w:t>
            </w:r>
            <w:r w:rsidRPr="00986B29">
              <w:rPr>
                <w:rFonts w:asciiTheme="majorHAnsi" w:hAnsiTheme="majorHAnsi" w:cstheme="majorHAnsi"/>
                <w:sz w:val="22"/>
                <w:szCs w:val="22"/>
              </w:rPr>
              <w:t xml:space="preserve">, TOEFL 100 </w:t>
            </w:r>
            <w:r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>(min 20 for all subs)</w:t>
            </w:r>
            <w:r w:rsidR="00083774" w:rsidRPr="00986B29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</w:p>
        </w:tc>
      </w:tr>
    </w:tbl>
    <w:p w14:paraId="1B8B8B10" w14:textId="276BF47A" w:rsidR="002411AE" w:rsidRDefault="002411AE" w:rsidP="00F54985">
      <w:pPr>
        <w:rPr>
          <w:rFonts w:ascii="Arial" w:hAnsi="Arial" w:cs="Arial"/>
          <w:sz w:val="18"/>
          <w:szCs w:val="18"/>
        </w:rPr>
      </w:pPr>
    </w:p>
    <w:p w14:paraId="738EBAD8" w14:textId="45A2D818" w:rsidR="00986B29" w:rsidRDefault="00986B29" w:rsidP="00F54985">
      <w:pPr>
        <w:rPr>
          <w:rFonts w:ascii="Arial" w:hAnsi="Arial" w:cs="Arial"/>
          <w:sz w:val="18"/>
          <w:szCs w:val="18"/>
        </w:rPr>
      </w:pPr>
    </w:p>
    <w:p w14:paraId="7091B3A7" w14:textId="77777777" w:rsidR="00986B29" w:rsidRDefault="00986B29" w:rsidP="00986B29">
      <w:pPr>
        <w:rPr>
          <w:rFonts w:ascii="Arial" w:hAnsi="Arial" w:cs="Arial"/>
          <w:sz w:val="18"/>
          <w:szCs w:val="18"/>
        </w:rPr>
      </w:pPr>
    </w:p>
    <w:p w14:paraId="20A5F658" w14:textId="77777777" w:rsidR="00986B29" w:rsidRPr="000439FC" w:rsidRDefault="00986B29" w:rsidP="00986B29">
      <w:pPr>
        <w:rPr>
          <w:rFonts w:ascii="Calibri" w:hAnsi="Calibri" w:cs="Calibri"/>
          <w:b/>
          <w:iCs/>
          <w:sz w:val="20"/>
          <w:szCs w:val="20"/>
        </w:rPr>
      </w:pPr>
      <w:bookmarkStart w:id="0" w:name="_Hlk84621795"/>
      <w:r w:rsidRPr="000439FC">
        <w:rPr>
          <w:rFonts w:ascii="Calibri" w:hAnsi="Calibri" w:cs="Calibri"/>
          <w:b/>
          <w:iCs/>
          <w:sz w:val="20"/>
          <w:szCs w:val="20"/>
        </w:rPr>
        <w:t>English requirements</w:t>
      </w:r>
      <w:r w:rsidRPr="000439FC">
        <w:rPr>
          <w:rFonts w:ascii="Calibri" w:hAnsi="Calibri" w:cs="Calibri"/>
          <w:b/>
          <w:iCs/>
          <w:sz w:val="20"/>
          <w:szCs w:val="20"/>
        </w:rPr>
        <w:t>：</w:t>
      </w:r>
    </w:p>
    <w:p w14:paraId="19E85E5F" w14:textId="77777777" w:rsidR="00986B29" w:rsidRPr="000439FC" w:rsidRDefault="00986B29" w:rsidP="00986B29">
      <w:pPr>
        <w:rPr>
          <w:rFonts w:ascii="Calibri" w:hAnsi="Calibri" w:cs="Calibri"/>
          <w:bCs/>
          <w:sz w:val="20"/>
          <w:szCs w:val="20"/>
        </w:rPr>
      </w:pPr>
      <w:r w:rsidRPr="000439FC">
        <w:rPr>
          <w:rFonts w:ascii="Calibri" w:hAnsi="Calibri" w:cs="Calibri"/>
          <w:b/>
          <w:iCs/>
          <w:sz w:val="20"/>
          <w:szCs w:val="20"/>
        </w:rPr>
        <w:t>P</w:t>
      </w:r>
      <w:r w:rsidRPr="000439FC">
        <w:rPr>
          <w:rFonts w:ascii="Calibri" w:hAnsi="Calibri" w:cs="Calibri"/>
          <w:b/>
          <w:iCs/>
          <w:sz w:val="20"/>
          <w:szCs w:val="20"/>
          <w:lang w:eastAsia="zh-Hans"/>
        </w:rPr>
        <w:t>lease refer to Erasmus University China Center official website for your information</w:t>
      </w:r>
      <w:r w:rsidRPr="000439FC">
        <w:rPr>
          <w:rFonts w:ascii="Calibri" w:hAnsi="Calibri" w:cs="Calibri"/>
          <w:bCs/>
          <w:iCs/>
          <w:sz w:val="20"/>
          <w:szCs w:val="20"/>
          <w:lang w:eastAsia="zh-Hans"/>
        </w:rPr>
        <w:t xml:space="preserve"> </w:t>
      </w:r>
      <w:hyperlink r:id="rId10" w:history="1">
        <w:r w:rsidRPr="000439FC">
          <w:rPr>
            <w:rStyle w:val="a4"/>
            <w:rFonts w:ascii="Calibri" w:hAnsi="Calibri" w:cs="Calibri"/>
            <w:bCs/>
            <w:sz w:val="20"/>
            <w:szCs w:val="20"/>
          </w:rPr>
          <w:t>www.eur</w:t>
        </w:r>
        <w:bookmarkStart w:id="1" w:name="_Hlt44665315"/>
        <w:r w:rsidRPr="000439FC">
          <w:rPr>
            <w:rStyle w:val="a4"/>
            <w:rFonts w:ascii="Calibri" w:hAnsi="Calibri" w:cs="Calibri"/>
            <w:bCs/>
            <w:sz w:val="20"/>
            <w:szCs w:val="20"/>
          </w:rPr>
          <w:t>.</w:t>
        </w:r>
        <w:bookmarkEnd w:id="1"/>
        <w:r w:rsidRPr="000439FC">
          <w:rPr>
            <w:rStyle w:val="a4"/>
            <w:rFonts w:ascii="Calibri" w:hAnsi="Calibri" w:cs="Calibri"/>
            <w:bCs/>
            <w:sz w:val="20"/>
            <w:szCs w:val="20"/>
          </w:rPr>
          <w:t>nl/eucc</w:t>
        </w:r>
      </w:hyperlink>
    </w:p>
    <w:p w14:paraId="0279122C" w14:textId="77777777" w:rsidR="00986B29" w:rsidRPr="000439FC" w:rsidRDefault="00986B29" w:rsidP="00986B29">
      <w:pPr>
        <w:rPr>
          <w:rFonts w:ascii="Calibri" w:hAnsi="Calibri" w:cs="Calibri"/>
          <w:bCs/>
          <w:i/>
          <w:sz w:val="20"/>
          <w:szCs w:val="20"/>
          <w:lang w:eastAsia="zh-Hans"/>
        </w:rPr>
      </w:pPr>
      <w:r w:rsidRPr="000439FC">
        <w:rPr>
          <w:rFonts w:ascii="Calibri" w:hAnsi="Calibri" w:cs="Calibri"/>
          <w:bCs/>
          <w:i/>
          <w:sz w:val="20"/>
          <w:szCs w:val="20"/>
        </w:rPr>
        <w:t>E</w:t>
      </w:r>
      <w:r w:rsidRPr="000439FC">
        <w:rPr>
          <w:rFonts w:ascii="Calibri" w:hAnsi="Calibri" w:cs="Calibri"/>
          <w:bCs/>
          <w:i/>
          <w:sz w:val="20"/>
          <w:szCs w:val="20"/>
          <w:lang w:eastAsia="zh-Hans"/>
        </w:rPr>
        <w:t>rasmus University China Center -&gt; CSC Scholarship -&gt; “I am a prospective CSC PhD Candidate” -&gt; Table 1</w:t>
      </w:r>
    </w:p>
    <w:p w14:paraId="79BAC32D" w14:textId="77777777" w:rsidR="00986B29" w:rsidRPr="000439FC" w:rsidRDefault="00986B29" w:rsidP="00986B29">
      <w:pPr>
        <w:rPr>
          <w:rFonts w:ascii="Calibri" w:hAnsi="Calibri" w:cs="Calibri"/>
          <w:bCs/>
          <w:i/>
          <w:sz w:val="20"/>
          <w:szCs w:val="20"/>
          <w:lang w:eastAsia="zh-Hans"/>
        </w:rPr>
      </w:pPr>
    </w:p>
    <w:p w14:paraId="0CDE811A" w14:textId="77777777" w:rsidR="00986B29" w:rsidRPr="000439FC" w:rsidRDefault="00986B29" w:rsidP="00986B29">
      <w:pPr>
        <w:rPr>
          <w:rFonts w:ascii="Calibri" w:hAnsi="Calibri" w:cs="Calibri"/>
          <w:sz w:val="20"/>
          <w:szCs w:val="20"/>
          <w:lang w:eastAsia="zh-Hans"/>
        </w:rPr>
      </w:pPr>
      <w:r w:rsidRPr="000439FC">
        <w:rPr>
          <w:rFonts w:ascii="Calibri" w:hAnsi="Calibri" w:cs="Calibri"/>
          <w:sz w:val="20"/>
          <w:szCs w:val="20"/>
        </w:rPr>
        <w:t>P</w:t>
      </w:r>
      <w:r w:rsidRPr="000439FC">
        <w:rPr>
          <w:rFonts w:ascii="Calibri" w:hAnsi="Calibri" w:cs="Calibri"/>
          <w:sz w:val="20"/>
          <w:szCs w:val="20"/>
          <w:lang w:eastAsia="zh-Hans"/>
        </w:rPr>
        <w:t xml:space="preserve">lease note: </w:t>
      </w:r>
    </w:p>
    <w:p w14:paraId="4F0B6E47" w14:textId="77777777" w:rsidR="00986B29" w:rsidRPr="000439FC" w:rsidRDefault="00986B29" w:rsidP="00986B29">
      <w:pPr>
        <w:rPr>
          <w:rFonts w:ascii="Calibri" w:hAnsi="Calibri" w:cs="Calibri"/>
          <w:sz w:val="20"/>
          <w:szCs w:val="20"/>
        </w:rPr>
      </w:pPr>
      <w:r w:rsidRPr="000439FC">
        <w:rPr>
          <w:rFonts w:ascii="Calibri" w:hAnsi="Calibri" w:cs="Calibri"/>
          <w:sz w:val="20"/>
          <w:szCs w:val="20"/>
          <w:lang w:eastAsia="zh-Hans"/>
        </w:rPr>
        <w:t xml:space="preserve">Each institute requires difference level of English, make sure to find the right institute. </w:t>
      </w:r>
      <w:r w:rsidRPr="000439FC">
        <w:rPr>
          <w:rFonts w:ascii="Calibri" w:hAnsi="Calibri" w:cs="Calibri"/>
          <w:sz w:val="20"/>
          <w:szCs w:val="20"/>
        </w:rPr>
        <w:t xml:space="preserve">2022 CSC-PhD </w:t>
      </w:r>
      <w:proofErr w:type="spellStart"/>
      <w:r w:rsidRPr="000439FC">
        <w:rPr>
          <w:rFonts w:ascii="Calibri" w:hAnsi="Calibri" w:cs="Calibri"/>
          <w:sz w:val="20"/>
          <w:szCs w:val="20"/>
        </w:rPr>
        <w:t>programme</w:t>
      </w:r>
      <w:proofErr w:type="spellEnd"/>
      <w:r w:rsidRPr="000439FC">
        <w:rPr>
          <w:rFonts w:ascii="Calibri" w:hAnsi="Calibri" w:cs="Calibri"/>
          <w:sz w:val="20"/>
          <w:szCs w:val="20"/>
        </w:rPr>
        <w:t xml:space="preserve"> information will be shared and updated </w:t>
      </w:r>
      <w:r w:rsidRPr="000439FC">
        <w:rPr>
          <w:rFonts w:ascii="Calibri" w:hAnsi="Calibri" w:cs="Calibri"/>
          <w:sz w:val="20"/>
          <w:szCs w:val="20"/>
          <w:lang w:eastAsia="zh-Hans"/>
        </w:rPr>
        <w:t>soon!</w:t>
      </w:r>
    </w:p>
    <w:bookmarkEnd w:id="0"/>
    <w:p w14:paraId="1348F2A7" w14:textId="77777777" w:rsidR="00986B29" w:rsidRPr="00986B29" w:rsidRDefault="00986B29" w:rsidP="00F54985">
      <w:pPr>
        <w:rPr>
          <w:rFonts w:ascii="Arial" w:hAnsi="Arial" w:cs="Arial" w:hint="eastAsia"/>
          <w:sz w:val="18"/>
          <w:szCs w:val="18"/>
        </w:rPr>
      </w:pPr>
    </w:p>
    <w:sectPr w:rsidR="00986B29" w:rsidRPr="00986B29" w:rsidSect="00102C39">
      <w:headerReference w:type="default" r:id="rId11"/>
      <w:pgSz w:w="12240" w:h="15840"/>
      <w:pgMar w:top="993" w:right="49" w:bottom="1135" w:left="567" w:header="17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8FF4D" w14:textId="77777777" w:rsidR="00EE45C9" w:rsidRDefault="00EE45C9" w:rsidP="00661390">
      <w:r>
        <w:separator/>
      </w:r>
    </w:p>
  </w:endnote>
  <w:endnote w:type="continuationSeparator" w:id="0">
    <w:p w14:paraId="57AFA56E" w14:textId="77777777" w:rsidR="00EE45C9" w:rsidRDefault="00EE45C9" w:rsidP="0066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BAB2A" w14:textId="77777777" w:rsidR="00EE45C9" w:rsidRDefault="00EE45C9" w:rsidP="00661390">
      <w:r>
        <w:separator/>
      </w:r>
    </w:p>
  </w:footnote>
  <w:footnote w:type="continuationSeparator" w:id="0">
    <w:p w14:paraId="5B508E45" w14:textId="77777777" w:rsidR="00EE45C9" w:rsidRDefault="00EE45C9" w:rsidP="00661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3394" w14:textId="212A36CC" w:rsidR="00986B29" w:rsidRDefault="00986B29" w:rsidP="00986B29">
    <w:pPr>
      <w:pStyle w:val="1"/>
      <w:jc w:val="right"/>
    </w:pPr>
    <w:r>
      <w:rPr>
        <w:noProof/>
      </w:rPr>
      <w:drawing>
        <wp:inline distT="0" distB="0" distL="0" distR="0" wp14:anchorId="3C02281A" wp14:editId="640EA704">
          <wp:extent cx="1581150" cy="374650"/>
          <wp:effectExtent l="0" t="0" r="0" b="6350"/>
          <wp:docPr id="1" name="图片 1" descr="文本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本&#10;&#10;描述已自动生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CC8F33" w14:textId="77777777" w:rsidR="00986B29" w:rsidRPr="00C26805" w:rsidRDefault="00986B29" w:rsidP="00986B29">
    <w:pPr>
      <w:pStyle w:val="1"/>
      <w:tabs>
        <w:tab w:val="left" w:pos="4536"/>
      </w:tabs>
      <w:spacing w:before="0" w:after="0"/>
      <w:rPr>
        <w:color w:val="00565B"/>
        <w:sz w:val="20"/>
        <w:szCs w:val="20"/>
      </w:rPr>
    </w:pPr>
    <w:r w:rsidRPr="00C26805">
      <w:rPr>
        <w:color w:val="00565B"/>
        <w:sz w:val="20"/>
        <w:szCs w:val="20"/>
      </w:rPr>
      <w:t>Erasmus University Rotterdam, the Netherlands</w:t>
    </w:r>
  </w:p>
  <w:p w14:paraId="209EA0F3" w14:textId="77777777" w:rsidR="00986B29" w:rsidRPr="00C26805" w:rsidRDefault="00986B29" w:rsidP="00986B29">
    <w:pPr>
      <w:pStyle w:val="1"/>
      <w:tabs>
        <w:tab w:val="left" w:pos="4536"/>
      </w:tabs>
      <w:spacing w:before="0" w:after="0"/>
      <w:rPr>
        <w:color w:val="00565B"/>
        <w:sz w:val="20"/>
        <w:szCs w:val="20"/>
      </w:rPr>
    </w:pPr>
    <w:r w:rsidRPr="00C26805">
      <w:rPr>
        <w:color w:val="00565B"/>
        <w:sz w:val="20"/>
        <w:szCs w:val="20"/>
      </w:rPr>
      <w:t>CSC PhD 2022 Project Description</w:t>
    </w:r>
  </w:p>
  <w:p w14:paraId="009142DA" w14:textId="77777777" w:rsidR="00986B29" w:rsidRPr="00C26805" w:rsidRDefault="00986B29" w:rsidP="00986B29">
    <w:pPr>
      <w:pStyle w:val="1"/>
      <w:tabs>
        <w:tab w:val="left" w:pos="4536"/>
      </w:tabs>
      <w:spacing w:before="0" w:after="0"/>
      <w:rPr>
        <w:color w:val="00565B"/>
        <w:sz w:val="20"/>
        <w:szCs w:val="20"/>
        <w:u w:val="single"/>
        <w:lang w:val="en-GB"/>
      </w:rPr>
    </w:pPr>
    <w:r w:rsidRPr="00C26805">
      <w:rPr>
        <w:color w:val="00565B"/>
        <w:sz w:val="20"/>
        <w:szCs w:val="20"/>
      </w:rPr>
      <w:t>A</w:t>
    </w:r>
    <w:r w:rsidRPr="00C26805">
      <w:rPr>
        <w:rFonts w:hint="eastAsia"/>
        <w:color w:val="00565B"/>
        <w:sz w:val="20"/>
        <w:szCs w:val="20"/>
      </w:rPr>
      <w:t>pplication</w:t>
    </w:r>
    <w:r w:rsidRPr="00C26805">
      <w:rPr>
        <w:color w:val="00565B"/>
        <w:sz w:val="20"/>
        <w:szCs w:val="20"/>
      </w:rPr>
      <w:t xml:space="preserve"> to: </w:t>
    </w:r>
    <w:hyperlink r:id="rId2" w:history="1">
      <w:r w:rsidRPr="00695FBB">
        <w:rPr>
          <w:rStyle w:val="a4"/>
          <w:sz w:val="20"/>
          <w:szCs w:val="20"/>
          <w:lang w:eastAsia="zh-Hans"/>
        </w:rPr>
        <w:t>E</w:t>
      </w:r>
      <w:r w:rsidRPr="00695FBB">
        <w:rPr>
          <w:rStyle w:val="a4"/>
          <w:sz w:val="20"/>
          <w:szCs w:val="20"/>
          <w:lang w:val="en-GB"/>
        </w:rPr>
        <w:t>ucc</w:t>
      </w:r>
      <w:r w:rsidRPr="00695FBB">
        <w:rPr>
          <w:rStyle w:val="a4"/>
          <w:sz w:val="20"/>
          <w:szCs w:val="20"/>
          <w:lang w:eastAsia="zh-Hans"/>
        </w:rPr>
        <w:t>C</w:t>
      </w:r>
      <w:r w:rsidRPr="00695FBB">
        <w:rPr>
          <w:rStyle w:val="a4"/>
          <w:rFonts w:hint="eastAsia"/>
          <w:sz w:val="20"/>
          <w:szCs w:val="20"/>
          <w:lang w:eastAsia="zh-Hans"/>
        </w:rPr>
        <w:t>hina</w:t>
      </w:r>
      <w:r w:rsidRPr="00695FBB">
        <w:rPr>
          <w:rStyle w:val="a4"/>
          <w:sz w:val="20"/>
          <w:szCs w:val="20"/>
          <w:lang w:eastAsia="zh-Hans"/>
        </w:rPr>
        <w:t>O</w:t>
      </w:r>
      <w:r w:rsidRPr="00695FBB">
        <w:rPr>
          <w:rStyle w:val="a4"/>
          <w:rFonts w:hint="eastAsia"/>
          <w:sz w:val="20"/>
          <w:szCs w:val="20"/>
          <w:lang w:eastAsia="zh-Hans"/>
        </w:rPr>
        <w:t>ffice</w:t>
      </w:r>
      <w:r w:rsidRPr="00695FBB">
        <w:rPr>
          <w:rStyle w:val="a4"/>
          <w:sz w:val="20"/>
          <w:szCs w:val="20"/>
          <w:lang w:val="en-GB"/>
        </w:rPr>
        <w:t>@eur.nl</w:t>
      </w:r>
    </w:hyperlink>
    <w:r w:rsidRPr="00C26805">
      <w:rPr>
        <w:color w:val="00565B"/>
        <w:sz w:val="20"/>
        <w:szCs w:val="20"/>
        <w:lang w:eastAsia="zh-Hans"/>
      </w:rPr>
      <w:t xml:space="preserve"> (d</w:t>
    </w:r>
    <w:r w:rsidRPr="00C26805">
      <w:rPr>
        <w:rFonts w:hint="eastAsia"/>
        <w:color w:val="00565B"/>
        <w:sz w:val="20"/>
        <w:szCs w:val="20"/>
        <w:lang w:eastAsia="zh-Hans"/>
      </w:rPr>
      <w:t>eadline</w:t>
    </w:r>
    <w:r w:rsidRPr="00C26805">
      <w:rPr>
        <w:color w:val="00565B"/>
        <w:sz w:val="20"/>
        <w:szCs w:val="20"/>
        <w:lang w:eastAsia="zh-Hans"/>
      </w:rPr>
      <w:t>: Friday Mar 4, 2022)</w:t>
    </w:r>
  </w:p>
  <w:p w14:paraId="5FBE5DFD" w14:textId="77777777" w:rsidR="00986B29" w:rsidRDefault="00986B29" w:rsidP="00986B29">
    <w:pPr>
      <w:pStyle w:val="1"/>
      <w:tabs>
        <w:tab w:val="left" w:pos="4536"/>
      </w:tabs>
      <w:spacing w:before="0" w:after="0"/>
      <w:ind w:left="-284"/>
      <w:jc w:val="center"/>
      <w:rPr>
        <w:rFonts w:ascii="Calibri" w:hAnsi="Calibri" w:cs="Times New Roman"/>
        <w:b w:val="0"/>
        <w:bCs w:val="0"/>
        <w:kern w:val="0"/>
        <w:sz w:val="24"/>
        <w:szCs w:val="24"/>
        <w:lang w:eastAsia="en-GB"/>
      </w:rPr>
    </w:pPr>
  </w:p>
  <w:p w14:paraId="2528A6FA" w14:textId="77777777" w:rsidR="00986B29" w:rsidRDefault="00986B29" w:rsidP="00986B29">
    <w:pPr>
      <w:pStyle w:val="1"/>
      <w:tabs>
        <w:tab w:val="left" w:pos="4536"/>
      </w:tabs>
      <w:spacing w:before="0" w:after="0"/>
      <w:ind w:left="-284"/>
      <w:jc w:val="center"/>
      <w:rPr>
        <w:rFonts w:ascii="Calibri" w:hAnsi="Calibri" w:cs="Times New Roman"/>
        <w:b w:val="0"/>
        <w:bCs w:val="0"/>
        <w:color w:val="0000FF"/>
        <w:kern w:val="0"/>
        <w:sz w:val="24"/>
        <w:szCs w:val="24"/>
        <w:u w:val="single"/>
        <w:lang w:val="en-GB" w:eastAsia="en-GB"/>
      </w:rPr>
    </w:pPr>
    <w:r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EMC </w:t>
    </w:r>
    <w:r w:rsidRPr="00DD5119"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Ranked world no 14-36 for </w:t>
    </w:r>
    <w:hyperlink r:id="rId3" w:history="1">
      <w:r w:rsidRPr="00DD5119">
        <w:rPr>
          <w:rFonts w:ascii="Calibri" w:hAnsi="Calibri" w:cs="Times New Roman"/>
          <w:b w:val="0"/>
          <w:bCs w:val="0"/>
          <w:color w:val="0000FF"/>
          <w:kern w:val="0"/>
          <w:sz w:val="24"/>
          <w:szCs w:val="24"/>
          <w:u w:val="single"/>
          <w:lang w:val="en-GB" w:eastAsia="en-GB"/>
        </w:rPr>
        <w:t>Clinical Fields US News 2021</w:t>
      </w:r>
    </w:hyperlink>
    <w:r w:rsidRPr="00DD5119"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, no 30 </w:t>
    </w:r>
    <w:hyperlink r:id="rId4" w:history="1">
      <w:r w:rsidRPr="00DD5119">
        <w:rPr>
          <w:rFonts w:ascii="Calibri" w:hAnsi="Calibri" w:cs="Times New Roman"/>
          <w:b w:val="0"/>
          <w:bCs w:val="0"/>
          <w:color w:val="0000FF"/>
          <w:kern w:val="0"/>
          <w:sz w:val="24"/>
          <w:szCs w:val="24"/>
          <w:u w:val="single"/>
          <w:lang w:val="en-GB" w:eastAsia="en-GB"/>
        </w:rPr>
        <w:t>Nature Index for Biomedical Sciences 2019</w:t>
      </w:r>
    </w:hyperlink>
  </w:p>
  <w:p w14:paraId="239A91A0" w14:textId="77777777" w:rsidR="00986B29" w:rsidRDefault="00986B29" w:rsidP="00986B29">
    <w:pPr>
      <w:pStyle w:val="1"/>
      <w:tabs>
        <w:tab w:val="left" w:pos="4536"/>
      </w:tabs>
      <w:spacing w:before="0" w:after="0"/>
      <w:ind w:left="-284"/>
      <w:jc w:val="center"/>
      <w:rPr>
        <w:color w:val="0C2074"/>
        <w:sz w:val="40"/>
        <w:szCs w:val="40"/>
      </w:rPr>
    </w:pPr>
  </w:p>
  <w:p w14:paraId="7BD16191" w14:textId="77777777" w:rsidR="00986B29" w:rsidRDefault="00986B29" w:rsidP="00986B29">
    <w:pPr>
      <w:pStyle w:val="1"/>
      <w:tabs>
        <w:tab w:val="left" w:pos="4536"/>
      </w:tabs>
      <w:spacing w:before="0" w:after="0"/>
      <w:ind w:left="-284"/>
      <w:jc w:val="center"/>
      <w:rPr>
        <w:color w:val="0C2074"/>
        <w:sz w:val="30"/>
        <w:szCs w:val="30"/>
      </w:rPr>
    </w:pPr>
    <w:r w:rsidRPr="00C26805">
      <w:rPr>
        <w:color w:val="0C2074"/>
        <w:sz w:val="30"/>
        <w:szCs w:val="30"/>
      </w:rPr>
      <w:t>PhD Project Description</w:t>
    </w:r>
  </w:p>
  <w:p w14:paraId="5F18E107" w14:textId="29FBCD5D" w:rsidR="00BE2BF2" w:rsidRPr="00986B29" w:rsidRDefault="00BE2BF2" w:rsidP="00986B2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768E0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2E60BC"/>
    <w:multiLevelType w:val="hybridMultilevel"/>
    <w:tmpl w:val="587AD738"/>
    <w:lvl w:ilvl="0" w:tplc="D3528352">
      <w:start w:val="3"/>
      <w:numFmt w:val="bullet"/>
      <w:lvlText w:val="-"/>
      <w:lvlJc w:val="left"/>
      <w:pPr>
        <w:ind w:left="72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D2E9F"/>
    <w:multiLevelType w:val="hybridMultilevel"/>
    <w:tmpl w:val="9DF08F9C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" w15:restartNumberingAfterBreak="0">
    <w:nsid w:val="25160519"/>
    <w:multiLevelType w:val="hybridMultilevel"/>
    <w:tmpl w:val="697C5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33C9A"/>
    <w:multiLevelType w:val="hybridMultilevel"/>
    <w:tmpl w:val="1BA4E2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615BB"/>
    <w:multiLevelType w:val="hybridMultilevel"/>
    <w:tmpl w:val="D46A7872"/>
    <w:lvl w:ilvl="0" w:tplc="0409000D">
      <w:start w:val="1"/>
      <w:numFmt w:val="bullet"/>
      <w:lvlText w:val=""/>
      <w:lvlJc w:val="left"/>
      <w:pPr>
        <w:ind w:left="846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6" w15:restartNumberingAfterBreak="0">
    <w:nsid w:val="65E84D62"/>
    <w:multiLevelType w:val="hybridMultilevel"/>
    <w:tmpl w:val="C30C5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46E69"/>
    <w:multiLevelType w:val="hybridMultilevel"/>
    <w:tmpl w:val="47FC0ADA"/>
    <w:lvl w:ilvl="0" w:tplc="CC8005F4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6F490C"/>
    <w:multiLevelType w:val="hybridMultilevel"/>
    <w:tmpl w:val="0D18C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7637E"/>
    <w:multiLevelType w:val="hybridMultilevel"/>
    <w:tmpl w:val="4B22CC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AD3"/>
    <w:rsid w:val="00013C78"/>
    <w:rsid w:val="000278A5"/>
    <w:rsid w:val="00027D94"/>
    <w:rsid w:val="000309E6"/>
    <w:rsid w:val="000724E5"/>
    <w:rsid w:val="00083774"/>
    <w:rsid w:val="0009361E"/>
    <w:rsid w:val="000B391E"/>
    <w:rsid w:val="000C22B4"/>
    <w:rsid w:val="000F3EC8"/>
    <w:rsid w:val="00102A80"/>
    <w:rsid w:val="00102C39"/>
    <w:rsid w:val="00111BBE"/>
    <w:rsid w:val="00112E3D"/>
    <w:rsid w:val="00125B05"/>
    <w:rsid w:val="00125C4C"/>
    <w:rsid w:val="001772A0"/>
    <w:rsid w:val="001A3FA2"/>
    <w:rsid w:val="001B4160"/>
    <w:rsid w:val="001E10BD"/>
    <w:rsid w:val="001E4710"/>
    <w:rsid w:val="00220748"/>
    <w:rsid w:val="00233FCD"/>
    <w:rsid w:val="002411AE"/>
    <w:rsid w:val="00244149"/>
    <w:rsid w:val="002506C4"/>
    <w:rsid w:val="002C5205"/>
    <w:rsid w:val="002E05FC"/>
    <w:rsid w:val="0032143E"/>
    <w:rsid w:val="00345101"/>
    <w:rsid w:val="003464AF"/>
    <w:rsid w:val="00355261"/>
    <w:rsid w:val="00365621"/>
    <w:rsid w:val="003831B7"/>
    <w:rsid w:val="003842D4"/>
    <w:rsid w:val="00393537"/>
    <w:rsid w:val="003B2AD3"/>
    <w:rsid w:val="00403259"/>
    <w:rsid w:val="00406EFC"/>
    <w:rsid w:val="004071FB"/>
    <w:rsid w:val="00417200"/>
    <w:rsid w:val="004600C5"/>
    <w:rsid w:val="004653AE"/>
    <w:rsid w:val="004B7F7E"/>
    <w:rsid w:val="004C16BA"/>
    <w:rsid w:val="004C2595"/>
    <w:rsid w:val="004C7B79"/>
    <w:rsid w:val="00504427"/>
    <w:rsid w:val="00505104"/>
    <w:rsid w:val="00506B81"/>
    <w:rsid w:val="00562702"/>
    <w:rsid w:val="005656B4"/>
    <w:rsid w:val="0058709E"/>
    <w:rsid w:val="00593D20"/>
    <w:rsid w:val="00595CA9"/>
    <w:rsid w:val="005A165E"/>
    <w:rsid w:val="005B04D3"/>
    <w:rsid w:val="005B2190"/>
    <w:rsid w:val="005C06EA"/>
    <w:rsid w:val="005C4509"/>
    <w:rsid w:val="005D07F9"/>
    <w:rsid w:val="0061207E"/>
    <w:rsid w:val="00616B55"/>
    <w:rsid w:val="006245F4"/>
    <w:rsid w:val="00640166"/>
    <w:rsid w:val="00641114"/>
    <w:rsid w:val="00661390"/>
    <w:rsid w:val="006915CB"/>
    <w:rsid w:val="006B1A03"/>
    <w:rsid w:val="006C4469"/>
    <w:rsid w:val="006D0275"/>
    <w:rsid w:val="006E082D"/>
    <w:rsid w:val="006E379A"/>
    <w:rsid w:val="006F091A"/>
    <w:rsid w:val="007055AD"/>
    <w:rsid w:val="007208A2"/>
    <w:rsid w:val="00751701"/>
    <w:rsid w:val="0078542B"/>
    <w:rsid w:val="007947EA"/>
    <w:rsid w:val="007A54DB"/>
    <w:rsid w:val="007A62B3"/>
    <w:rsid w:val="007B0E7A"/>
    <w:rsid w:val="007B24BC"/>
    <w:rsid w:val="007F4540"/>
    <w:rsid w:val="007F55F3"/>
    <w:rsid w:val="00823139"/>
    <w:rsid w:val="00825700"/>
    <w:rsid w:val="00836A04"/>
    <w:rsid w:val="00843F99"/>
    <w:rsid w:val="00856749"/>
    <w:rsid w:val="008A0EDB"/>
    <w:rsid w:val="008B03A7"/>
    <w:rsid w:val="008B286A"/>
    <w:rsid w:val="008C128F"/>
    <w:rsid w:val="008C42D8"/>
    <w:rsid w:val="008C63E8"/>
    <w:rsid w:val="00914FF9"/>
    <w:rsid w:val="0092318B"/>
    <w:rsid w:val="00941868"/>
    <w:rsid w:val="00947DF7"/>
    <w:rsid w:val="00960A50"/>
    <w:rsid w:val="00980C59"/>
    <w:rsid w:val="00986B29"/>
    <w:rsid w:val="009A2EE4"/>
    <w:rsid w:val="009B2745"/>
    <w:rsid w:val="009D7293"/>
    <w:rsid w:val="009E2532"/>
    <w:rsid w:val="00A03DC5"/>
    <w:rsid w:val="00A04089"/>
    <w:rsid w:val="00A20BFB"/>
    <w:rsid w:val="00A44C15"/>
    <w:rsid w:val="00A46EC2"/>
    <w:rsid w:val="00A668FE"/>
    <w:rsid w:val="00A92096"/>
    <w:rsid w:val="00AE663B"/>
    <w:rsid w:val="00AE728A"/>
    <w:rsid w:val="00B16D1A"/>
    <w:rsid w:val="00B6618A"/>
    <w:rsid w:val="00B854EE"/>
    <w:rsid w:val="00B93BFE"/>
    <w:rsid w:val="00BA3F83"/>
    <w:rsid w:val="00BB3CC4"/>
    <w:rsid w:val="00BD270B"/>
    <w:rsid w:val="00BE0A0D"/>
    <w:rsid w:val="00BE2BF2"/>
    <w:rsid w:val="00BE5C25"/>
    <w:rsid w:val="00BF30CD"/>
    <w:rsid w:val="00C000D1"/>
    <w:rsid w:val="00C15A03"/>
    <w:rsid w:val="00C507A7"/>
    <w:rsid w:val="00C6284E"/>
    <w:rsid w:val="00CB502E"/>
    <w:rsid w:val="00D2457E"/>
    <w:rsid w:val="00D32088"/>
    <w:rsid w:val="00D35CED"/>
    <w:rsid w:val="00D640BC"/>
    <w:rsid w:val="00D87727"/>
    <w:rsid w:val="00DA108E"/>
    <w:rsid w:val="00E26F63"/>
    <w:rsid w:val="00E477A3"/>
    <w:rsid w:val="00E53DD1"/>
    <w:rsid w:val="00E63212"/>
    <w:rsid w:val="00E92480"/>
    <w:rsid w:val="00E97197"/>
    <w:rsid w:val="00EA34CC"/>
    <w:rsid w:val="00EB3800"/>
    <w:rsid w:val="00EC329F"/>
    <w:rsid w:val="00EE1E0C"/>
    <w:rsid w:val="00EE35FD"/>
    <w:rsid w:val="00EE45C9"/>
    <w:rsid w:val="00F07C69"/>
    <w:rsid w:val="00F52A26"/>
    <w:rsid w:val="00F54985"/>
    <w:rsid w:val="00F8208D"/>
    <w:rsid w:val="00F92F86"/>
    <w:rsid w:val="00FA7D8B"/>
    <w:rsid w:val="00FD16ED"/>
    <w:rsid w:val="00FE555D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590747"/>
  <w15:docId w15:val="{150AE5CF-CEBA-4012-B810-2D657E2D6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709E"/>
    <w:rPr>
      <w:sz w:val="24"/>
      <w:szCs w:val="24"/>
      <w:lang w:val="en-US" w:eastAsia="zh-CN"/>
    </w:rPr>
  </w:style>
  <w:style w:type="paragraph" w:styleId="1">
    <w:name w:val="heading 1"/>
    <w:basedOn w:val="a"/>
    <w:next w:val="a"/>
    <w:link w:val="10"/>
    <w:qFormat/>
    <w:rsid w:val="003B2A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935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0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B4160"/>
    <w:rPr>
      <w:color w:val="0000FF"/>
      <w:u w:val="single"/>
    </w:rPr>
  </w:style>
  <w:style w:type="paragraph" w:styleId="a5">
    <w:name w:val="header"/>
    <w:basedOn w:val="a"/>
    <w:link w:val="a6"/>
    <w:rsid w:val="00661390"/>
    <w:pPr>
      <w:tabs>
        <w:tab w:val="center" w:pos="4536"/>
        <w:tab w:val="right" w:pos="9072"/>
      </w:tabs>
    </w:pPr>
  </w:style>
  <w:style w:type="character" w:customStyle="1" w:styleId="a6">
    <w:name w:val="页眉 字符"/>
    <w:link w:val="a5"/>
    <w:rsid w:val="00661390"/>
    <w:rPr>
      <w:sz w:val="24"/>
      <w:szCs w:val="24"/>
      <w:lang w:val="en-US"/>
    </w:rPr>
  </w:style>
  <w:style w:type="paragraph" w:styleId="a7">
    <w:name w:val="footer"/>
    <w:basedOn w:val="a"/>
    <w:link w:val="a8"/>
    <w:rsid w:val="00661390"/>
    <w:pPr>
      <w:tabs>
        <w:tab w:val="center" w:pos="4536"/>
        <w:tab w:val="right" w:pos="9072"/>
      </w:tabs>
    </w:pPr>
  </w:style>
  <w:style w:type="character" w:customStyle="1" w:styleId="a8">
    <w:name w:val="页脚 字符"/>
    <w:link w:val="a7"/>
    <w:rsid w:val="00661390"/>
    <w:rPr>
      <w:sz w:val="24"/>
      <w:szCs w:val="24"/>
      <w:lang w:val="en-US"/>
    </w:rPr>
  </w:style>
  <w:style w:type="character" w:styleId="a9">
    <w:name w:val="annotation reference"/>
    <w:rsid w:val="00EE35FD"/>
    <w:rPr>
      <w:sz w:val="16"/>
      <w:szCs w:val="16"/>
    </w:rPr>
  </w:style>
  <w:style w:type="paragraph" w:styleId="aa">
    <w:name w:val="annotation text"/>
    <w:basedOn w:val="a"/>
    <w:link w:val="ab"/>
    <w:rsid w:val="00EE35FD"/>
    <w:rPr>
      <w:sz w:val="20"/>
      <w:szCs w:val="20"/>
    </w:rPr>
  </w:style>
  <w:style w:type="character" w:customStyle="1" w:styleId="ab">
    <w:name w:val="批注文字 字符"/>
    <w:link w:val="aa"/>
    <w:rsid w:val="00EE35FD"/>
    <w:rPr>
      <w:lang w:eastAsia="zh-CN"/>
    </w:rPr>
  </w:style>
  <w:style w:type="paragraph" w:styleId="ac">
    <w:name w:val="annotation subject"/>
    <w:basedOn w:val="aa"/>
    <w:next w:val="aa"/>
    <w:link w:val="ad"/>
    <w:rsid w:val="00EE35FD"/>
    <w:rPr>
      <w:b/>
      <w:bCs/>
    </w:rPr>
  </w:style>
  <w:style w:type="character" w:customStyle="1" w:styleId="ad">
    <w:name w:val="批注主题 字符"/>
    <w:link w:val="ac"/>
    <w:rsid w:val="00EE35FD"/>
    <w:rPr>
      <w:b/>
      <w:bCs/>
      <w:lang w:eastAsia="zh-CN"/>
    </w:rPr>
  </w:style>
  <w:style w:type="paragraph" w:styleId="ae">
    <w:name w:val="Balloon Text"/>
    <w:basedOn w:val="a"/>
    <w:link w:val="af"/>
    <w:rsid w:val="00EE35FD"/>
    <w:rPr>
      <w:rFonts w:ascii="Tahoma" w:hAnsi="Tahoma" w:cs="Tahoma"/>
      <w:sz w:val="16"/>
      <w:szCs w:val="16"/>
    </w:rPr>
  </w:style>
  <w:style w:type="character" w:customStyle="1" w:styleId="af">
    <w:name w:val="批注框文本 字符"/>
    <w:link w:val="ae"/>
    <w:rsid w:val="00EE35FD"/>
    <w:rPr>
      <w:rFonts w:ascii="Tahoma" w:hAnsi="Tahoma" w:cs="Tahoma"/>
      <w:sz w:val="16"/>
      <w:szCs w:val="16"/>
      <w:lang w:eastAsia="zh-CN"/>
    </w:rPr>
  </w:style>
  <w:style w:type="paragraph" w:customStyle="1" w:styleId="Title1">
    <w:name w:val="Title1"/>
    <w:basedOn w:val="a"/>
    <w:rsid w:val="0032143E"/>
    <w:pPr>
      <w:spacing w:before="100" w:beforeAutospacing="1" w:after="100" w:afterAutospacing="1"/>
    </w:pPr>
    <w:rPr>
      <w:rFonts w:eastAsia="Times New Roman"/>
      <w:lang w:val="nl-NL" w:eastAsia="nl-NL"/>
    </w:rPr>
  </w:style>
  <w:style w:type="character" w:customStyle="1" w:styleId="jrnl">
    <w:name w:val="jrnl"/>
    <w:rsid w:val="0032143E"/>
  </w:style>
  <w:style w:type="character" w:customStyle="1" w:styleId="st">
    <w:name w:val="st"/>
    <w:rsid w:val="0032143E"/>
  </w:style>
  <w:style w:type="paragraph" w:customStyle="1" w:styleId="desc">
    <w:name w:val="desc"/>
    <w:basedOn w:val="a"/>
    <w:rsid w:val="0032143E"/>
    <w:pPr>
      <w:spacing w:before="100" w:beforeAutospacing="1" w:after="100" w:afterAutospacing="1"/>
    </w:pPr>
    <w:rPr>
      <w:rFonts w:eastAsia="Times New Roman"/>
      <w:lang w:val="nl-NL" w:eastAsia="nl-NL"/>
    </w:rPr>
  </w:style>
  <w:style w:type="paragraph" w:styleId="af0">
    <w:name w:val="Title"/>
    <w:basedOn w:val="a"/>
    <w:link w:val="af1"/>
    <w:uiPriority w:val="99"/>
    <w:qFormat/>
    <w:rsid w:val="00F8208D"/>
    <w:pPr>
      <w:jc w:val="center"/>
    </w:pPr>
    <w:rPr>
      <w:rFonts w:eastAsia="Times New Roman"/>
      <w:b/>
      <w:bCs/>
      <w:lang w:val="en-GB" w:eastAsia="de-DE"/>
    </w:rPr>
  </w:style>
  <w:style w:type="character" w:customStyle="1" w:styleId="af1">
    <w:name w:val="标题 字符"/>
    <w:link w:val="af0"/>
    <w:uiPriority w:val="99"/>
    <w:rsid w:val="00F8208D"/>
    <w:rPr>
      <w:rFonts w:eastAsia="Times New Roman"/>
      <w:b/>
      <w:bCs/>
      <w:sz w:val="24"/>
      <w:szCs w:val="24"/>
      <w:lang w:val="en-GB" w:eastAsia="de-DE"/>
    </w:rPr>
  </w:style>
  <w:style w:type="paragraph" w:customStyle="1" w:styleId="Title2">
    <w:name w:val="Title2"/>
    <w:basedOn w:val="a"/>
    <w:rsid w:val="003464AF"/>
    <w:pPr>
      <w:spacing w:before="100" w:beforeAutospacing="1" w:after="100" w:afterAutospacing="1"/>
    </w:pPr>
    <w:rPr>
      <w:rFonts w:eastAsia="Times New Roman"/>
      <w:lang w:val="nl-NL" w:eastAsia="nl-NL"/>
    </w:rPr>
  </w:style>
  <w:style w:type="paragraph" w:customStyle="1" w:styleId="details">
    <w:name w:val="details"/>
    <w:basedOn w:val="a"/>
    <w:rsid w:val="003464AF"/>
    <w:pPr>
      <w:spacing w:before="100" w:beforeAutospacing="1" w:after="100" w:afterAutospacing="1"/>
    </w:pPr>
    <w:rPr>
      <w:rFonts w:eastAsia="Times New Roman"/>
      <w:lang w:val="nl-NL" w:eastAsia="nl-NL"/>
    </w:rPr>
  </w:style>
  <w:style w:type="character" w:customStyle="1" w:styleId="11">
    <w:name w:val="未处理的提及1"/>
    <w:basedOn w:val="a0"/>
    <w:uiPriority w:val="99"/>
    <w:semiHidden/>
    <w:unhideWhenUsed/>
    <w:rsid w:val="005C4509"/>
    <w:rPr>
      <w:color w:val="605E5C"/>
      <w:shd w:val="clear" w:color="auto" w:fill="E1DFDD"/>
    </w:rPr>
  </w:style>
  <w:style w:type="paragraph" w:styleId="af2">
    <w:name w:val="List Paragraph"/>
    <w:basedOn w:val="a"/>
    <w:uiPriority w:val="72"/>
    <w:rsid w:val="00345101"/>
    <w:pPr>
      <w:ind w:left="720"/>
      <w:contextualSpacing/>
    </w:pPr>
  </w:style>
  <w:style w:type="paragraph" w:customStyle="1" w:styleId="Default">
    <w:name w:val="Default"/>
    <w:rsid w:val="005A165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标题 1 字符"/>
    <w:basedOn w:val="a0"/>
    <w:link w:val="1"/>
    <w:rsid w:val="003842D4"/>
    <w:rPr>
      <w:rFonts w:ascii="Arial" w:hAnsi="Arial" w:cs="Arial"/>
      <w:b/>
      <w:bCs/>
      <w:kern w:val="32"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2517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0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9528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1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284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hofland@erasmusmc.n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w.w.deherder@erasmusmc.n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eur.nl/eu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rasmusmc.nl/en/research/departments/internal-medicine-laboratori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snews.com/education/best-global-universities/clinical-medicine" TargetMode="External"/><Relationship Id="rId2" Type="http://schemas.openxmlformats.org/officeDocument/2006/relationships/hyperlink" Target="mailto:EuccChinaOffice@eur.n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www.natureindex.com/supplements/nature-index-2019-biomedical-sciences/tables/healthcare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School:</vt:lpstr>
      <vt:lpstr>School:</vt:lpstr>
    </vt:vector>
  </TitlesOfParts>
  <Company>EUR</Company>
  <LinksUpToDate>false</LinksUpToDate>
  <CharactersWithSpaces>5025</CharactersWithSpaces>
  <SharedDoc>false</SharedDoc>
  <HLinks>
    <vt:vector size="12" baseType="variant">
      <vt:variant>
        <vt:i4>3539063</vt:i4>
      </vt:variant>
      <vt:variant>
        <vt:i4>3</vt:i4>
      </vt:variant>
      <vt:variant>
        <vt:i4>0</vt:i4>
      </vt:variant>
      <vt:variant>
        <vt:i4>5</vt:i4>
      </vt:variant>
      <vt:variant>
        <vt:lpwstr>https://www.usnews.com/education/best-global-universities/clinical-medicine</vt:lpwstr>
      </vt:variant>
      <vt:variant>
        <vt:lpwstr/>
      </vt:variant>
      <vt:variant>
        <vt:i4>1245195</vt:i4>
      </vt:variant>
      <vt:variant>
        <vt:i4>0</vt:i4>
      </vt:variant>
      <vt:variant>
        <vt:i4>0</vt:i4>
      </vt:variant>
      <vt:variant>
        <vt:i4>5</vt:i4>
      </vt:variant>
      <vt:variant>
        <vt:lpwstr>http://www.erasmusmc.nl/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School:</dc:title>
  <dc:subject/>
  <dc:creator>Weichia Tseng</dc:creator>
  <cp:keywords/>
  <cp:lastModifiedBy>L S</cp:lastModifiedBy>
  <cp:revision>11</cp:revision>
  <dcterms:created xsi:type="dcterms:W3CDTF">2020-10-02T10:33:00Z</dcterms:created>
  <dcterms:modified xsi:type="dcterms:W3CDTF">2021-10-08T15:21:00Z</dcterms:modified>
</cp:coreProperties>
</file>